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158</w:t>
              </w:r>
            </w:hyperlink>
          </w:p>
        </w:tc>
        <w:tc>
          <w:tcPr>
            <w:tcW w:w="3600" w:type="dxa"/>
            <w:noWrap w:val="false"/>
          </w:tcPr>
          <w:p>
            <w:r>
              <w:rPr>
                <w:sz w:val="20"/>
              </w:rPr>
              <w:t>A bill for an act relating to alcohol beverage control concerning product placement and inducements by manufacturers and wholesalers of alcoholic liquor, wine, or beer. (Formerly HSB 39.) Effective date: 07/01/2023.</w:t>
            </w:r>
          </w:p>
        </w:tc>
        <w:tc>
          <w:tcPr>
            <w:tcW w:w="4320" w:type="dxa"/>
            <w:noWrap w:val="false"/>
          </w:tcPr>
          <w:p>
            <w:r>
              <w:rPr>
                <w:sz w:val="20"/>
              </w:rPr>
              <w:t>Signed by Governor. (4/28/23)</w:t>
            </w:r>
            <w:br/>
            <w:r>
              <w:rPr>
                <w:sz w:val="20"/>
              </w:rPr>
              <w:t>Passed House, yeas 98, nays 0. (2/2/23)</w:t>
            </w:r>
            <w:br/>
            <w:r>
              <w:rPr>
                <w:sz w:val="20"/>
              </w:rPr>
              <w:t>Passed Senate, yeas 48, nays 2. (4/17/23)</w:t>
            </w:r>
            <w:br/>
            <w:r>
              <w:rPr>
                <w:sz w:val="20"/>
              </w:rPr>
              <w:t>Passed House, yeas 95, nays 0. (4/19/23)</w:t>
            </w:r>
          </w:p>
        </w:tc>
        <w:tc>
          <w:tcPr>
            <w:tcW w:w="4320" w:type="dxa"/>
            <w:noWrap w:val="false"/>
          </w:tcPr>
          <w:p>
            <w:pPr>
              <w:spacing w:before="0" w:after="0"/>
            </w:pPr>
            <w:r>
              <w:t>Support/For</w:t>
            </w:r>
          </w:p>
        </w:tc>
      </w:tr>
      <w:tr>
        <w:trPr>
          <w:cantSplit w:val="true"/>
        </w:trPr>
        <w:tc>
          <w:tcPr>
            <w:tcW w:w="2160" w:type="dxa"/>
            <w:noWrap w:val="false"/>
          </w:tcPr>
          <w:p>
            <w:hyperlink r:id="rId8">
              <w:r>
                <w:rPr>
                  <w:rStyle w:val="Hyperlink"/>
                </w:rPr>
                <w:t xml:space="preserve">HF 205</w:t>
              </w:r>
            </w:hyperlink>
          </w:p>
          <w:p>
            <w:hyperlink r:id="rId9">
              <w:r>
                <w:rPr>
                  <w:rStyle w:val="Hyperlink"/>
                </w:rPr>
                <w:t xml:space="preserve">CO:SF 123</w:t>
              </w:r>
            </w:hyperlink>
          </w:p>
        </w:tc>
        <w:tc>
          <w:tcPr>
            <w:tcW w:w="3600" w:type="dxa"/>
            <w:noWrap w:val="false"/>
          </w:tcPr>
          <w:p>
            <w:r>
              <w:rPr>
                <w:sz w:val="20"/>
              </w:rPr>
              <w:t>A bill for an act relating to the distribution of certain barrel tax revenues collected on beer. (Formerly HSB 71.) Effective date: 07/01/2023.</w:t>
            </w:r>
          </w:p>
        </w:tc>
        <w:tc>
          <w:tcPr>
            <w:tcW w:w="4320" w:type="dxa"/>
            <w:noWrap w:val="false"/>
          </w:tcPr>
          <w:p>
            <w:r>
              <w:rPr>
                <w:sz w:val="20"/>
              </w:rPr>
              <w:t>Fiscal note. (5/12/23)</w:t>
            </w:r>
            <w:br/>
            <w:r>
              <w:rPr>
                <w:sz w:val="20"/>
              </w:rPr>
              <w:t>Passed House, yeas 98, nays 0. (2/15/23)</w:t>
            </w:r>
            <w:br/>
            <w:r>
              <w:rPr>
                <w:sz w:val="20"/>
              </w:rPr>
              <w:t>Passed Senate, yeas 47, nays 2. (3/7/23)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10">
              <w:r>
                <w:rPr>
                  <w:rStyle w:val="Hyperlink"/>
                </w:rPr>
                <w:t xml:space="preserve">HF 433</w:t>
              </w:r>
            </w:hyperlink>
          </w:p>
          <w:p>
            <w:hyperlink r:id="rId11">
              <w:r>
                <w:rPr>
                  <w:rStyle w:val="Hyperlink"/>
                </w:rPr>
                <w:t xml:space="preserve">CO:SF 401</w:t>
              </w:r>
            </w:hyperlink>
          </w:p>
        </w:tc>
        <w:tc>
          <w:tcPr>
            <w:tcW w:w="3600" w:type="dxa"/>
            <w:noWrap w:val="false"/>
          </w:tcPr>
          <w:p>
            <w:r>
              <w:rPr>
                <w:sz w:val="20"/>
              </w:rPr>
              <w:t>A bill for an act relating to sales of mixed drinks or cocktails for consumption off the premises and including effective date provisions. (Formerly HSB 29.) Effective date: 04/28/2023.</w:t>
            </w:r>
          </w:p>
        </w:tc>
        <w:tc>
          <w:tcPr>
            <w:tcW w:w="4320" w:type="dxa"/>
            <w:noWrap w:val="false"/>
          </w:tcPr>
          <w:p>
            <w:r>
              <w:rPr>
                <w:sz w:val="20"/>
              </w:rPr>
              <w:t>Fiscal note. (5/10/23)</w:t>
            </w:r>
            <w:br/>
            <w:r>
              <w:rPr>
                <w:sz w:val="20"/>
              </w:rPr>
              <w:t>Passed House, yeas 98, nays 0. (3/7/23)</w:t>
            </w:r>
            <w:br/>
            <w:r>
              <w:rPr>
                <w:sz w:val="20"/>
              </w:rPr>
              <w:t>Passed Senate, yeas 50, nays 0. (4/17/23)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12">
              <w:r>
                <w:rPr>
                  <w:rStyle w:val="Hyperlink"/>
                </w:rPr>
                <w:t xml:space="preserve">HF 677</w:t>
              </w:r>
            </w:hyperlink>
          </w:p>
          <w:p>
            <w:hyperlink r:id="rId13">
              <w:r>
                <w:rPr>
                  <w:rStyle w:val="Hyperlink"/>
                </w:rPr>
                <w:t xml:space="preserve">CO:HF 458</w:t>
              </w:r>
            </w:hyperlink>
          </w:p>
        </w:tc>
        <w:tc>
          <w:tcPr>
            <w:tcW w:w="3600" w:type="dxa"/>
            <w:noWrap w:val="false"/>
          </w:tcPr>
          <w:p>
            <w:r>
              <w:rPr>
                <w:sz w:val="20"/>
              </w:rPr>
              <w:t>A bill for an act relating to native winery and native brewery retail alcohol licenses. (Formerly HF 458, HSB 127.) Effective date: 07/01/2023.</w:t>
            </w:r>
          </w:p>
        </w:tc>
        <w:tc>
          <w:tcPr>
            <w:tcW w:w="4320" w:type="dxa"/>
            <w:noWrap w:val="false"/>
          </w:tcPr>
          <w:p>
            <w:r>
              <w:rPr>
                <w:sz w:val="20"/>
              </w:rPr>
              <w:t>Signed by Governor. (6/1/23)</w:t>
            </w:r>
            <w:br/>
            <w:r>
              <w:rPr>
                <w:sz w:val="20"/>
              </w:rPr>
              <w:t>Passed House, yeas 98, nays 0. (4/11/23)</w:t>
            </w:r>
            <w:br/>
            <w:r>
              <w:rPr>
                <w:sz w:val="20"/>
              </w:rPr>
              <w:t>Passed Senate, yeas 47, nays 2. (5/4/23)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14">
              <w:r>
                <w:rPr>
                  <w:rStyle w:val="Hyperlink"/>
                </w:rPr>
                <w:t xml:space="preserve">SF 575</w:t>
              </w:r>
            </w:hyperlink>
          </w:p>
        </w:tc>
        <w:tc>
          <w:tcPr>
            <w:tcW w:w="3600" w:type="dxa"/>
            <w:noWrap w:val="false"/>
          </w:tcPr>
          <w:p>
            <w:r>
              <w:rPr>
                <w:sz w:val="20"/>
              </w:rPr>
              <w:t>A bill for an act relating to the economic development authority, including renewable chemical production, workforce housing, and innovation fund tax credits, the Iowa wine, beer, and spirits promotion board, and the beer and liquor control fund, and including applicability provisions. (Formerly SF 408, SSB 1087.) Effective date: 07/01/2023. Applicability date: 06/30/2023, 07/01/2023.</w:t>
            </w:r>
          </w:p>
        </w:tc>
        <w:tc>
          <w:tcPr>
            <w:tcW w:w="4320" w:type="dxa"/>
            <w:noWrap w:val="false"/>
          </w:tcPr>
          <w:p>
            <w:r>
              <w:rPr>
                <w:sz w:val="20"/>
              </w:rPr>
              <w:t>Signed by Governor. (6/1/23)</w:t>
            </w:r>
            <w:br/>
            <w:r>
              <w:rPr>
                <w:sz w:val="20"/>
              </w:rPr>
              <w:t>Passed Senate, yeas 47, nays 1. (4/27/23)</w:t>
            </w:r>
            <w:br/>
            <w:r>
              <w:rPr>
                <w:sz w:val="20"/>
              </w:rPr>
              <w:t>Passed House, yeas 94, nays 0. (5/1/23)</w:t>
            </w:r>
            <w:br/>
            <w:r>
              <w:rPr>
                <w:sz w:val="20"/>
              </w:rPr>
              <w:t>Passed Senate, yeas 47, nays 0. (5/3/23)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5">
              <w:r>
                <w:rPr>
                  <w:rStyle w:val="Hyperlink"/>
                </w:rPr>
                <w:t xml:space="preserve">HF 14</w:t>
              </w:r>
            </w:hyperlink>
          </w:p>
        </w:tc>
        <w:tc>
          <w:tcPr>
            <w:tcW w:w="3600" w:type="dxa"/>
            <w:noWrap w:val="false"/>
          </w:tcPr>
          <w:p>
            <w:r>
              <w:rPr>
                <w:sz w:val="20"/>
              </w:rPr>
              <w:t>A bill for an act relating to the minimum age for employment of persons by a retail alcohol licensee.</w:t>
            </w:r>
          </w:p>
        </w:tc>
        <w:tc>
          <w:tcPr>
            <w:tcW w:w="4320" w:type="dxa"/>
            <w:noWrap w:val="false"/>
          </w:tcPr>
          <w:p>
            <w:r>
              <w:rPr>
                <w:sz w:val="20"/>
              </w:rPr>
              <w:t>Subcommittee recommends passage. Vote Total: 2-0. (1/19/23)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16">
              <w:r>
                <w:rPr>
                  <w:rStyle w:val="Hyperlink"/>
                </w:rPr>
                <w:t xml:space="preserve">HF 83</w:t>
              </w:r>
            </w:hyperlink>
          </w:p>
        </w:tc>
        <w:tc>
          <w:tcPr>
            <w:tcW w:w="3600" w:type="dxa"/>
            <w:noWrap w:val="false"/>
          </w:tcPr>
          <w:p>
            <w:r>
              <w:rPr>
                <w:sz w:val="20"/>
              </w:rPr>
              <w:t>A bill for an act providing for the direct shipment of alcoholic liquor and including effective date provisions.</w:t>
            </w:r>
          </w:p>
        </w:tc>
        <w:tc>
          <w:tcPr>
            <w:tcW w:w="4320" w:type="dxa"/>
            <w:noWrap w:val="false"/>
          </w:tcPr>
          <w:p>
            <w:r>
              <w:rPr>
                <w:sz w:val="20"/>
              </w:rPr>
              <w:t>Subcommittee recommends passage. Vote Total: 2-1. (1/31/23)</w:t>
            </w:r>
          </w:p>
        </w:tc>
        <w:tc>
          <w:tcPr>
            <w:tcW w:w="4320" w:type="dxa"/>
            <w:noWrap w:val="false"/>
          </w:tcPr>
          <w:p>
            <w:pPr>
              <w:spacing w:before="0" w:after="0"/>
            </w:pPr>
            <w:r>
              <w:t>Track (no public position, but follow it)</w:t>
            </w:r>
          </w:p>
          <w:p>
            <w:pPr>
              <w:spacing w:before="0" w:after="0"/>
            </w:pPr>
            <w:r>
              <w:t>The House Commerce Subcommittee advanced the bill to committee on Tuesday, January 31 by a vote of 2-1 with the understanding that some work would be done. Several organizations spoke in support of the bill, but they were concerned about the language of the bill and sought to add an amendment allowing large alcholic and liquor distributors to participate. </w:t>
            </w:r>
          </w:p>
          <w:p>
            <w:pPr>
              <w:spacing w:before="0" w:after="0"/>
            </w:pPr>
            <w:r>
              <w:t/>
            </w:r>
          </w:p>
        </w:tc>
      </w:tr>
      <w:tr>
        <w:trPr>
          <w:cantSplit w:val="true"/>
        </w:trPr>
        <w:tc>
          <w:tcPr>
            <w:tcW w:w="2160" w:type="dxa"/>
            <w:noWrap w:val="false"/>
          </w:tcPr>
          <w:p>
            <w:hyperlink r:id="rId17">
              <w:r>
                <w:rPr>
                  <w:rStyle w:val="Hyperlink"/>
                </w:rPr>
                <w:t xml:space="preserve">HF 162</w:t>
              </w:r>
            </w:hyperlink>
          </w:p>
        </w:tc>
        <w:tc>
          <w:tcPr>
            <w:tcW w:w="3600" w:type="dxa"/>
            <w:noWrap w:val="false"/>
          </w:tcPr>
          <w:p>
            <w:r>
              <w:rPr>
                <w:sz w:val="20"/>
              </w:rPr>
              <w:t>A bill for an act relating to excess beverage container refund value possessed by the alcoholic beverages division.</w:t>
            </w:r>
          </w:p>
        </w:tc>
        <w:tc>
          <w:tcPr>
            <w:tcW w:w="4320" w:type="dxa"/>
            <w:noWrap w:val="false"/>
          </w:tcPr>
          <w:p>
            <w:r>
              <w:rPr>
                <w:sz w:val="20"/>
              </w:rPr>
              <w:t>Introduced, referred to Commerce. (1/31/23)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18">
              <w:r>
                <w:rPr>
                  <w:rStyle w:val="Hyperlink"/>
                </w:rPr>
                <w:t xml:space="preserve">HSB 29</w:t>
              </w:r>
            </w:hyperlink>
          </w:p>
        </w:tc>
        <w:tc>
          <w:tcPr>
            <w:tcW w:w="3600" w:type="dxa"/>
            <w:noWrap w:val="false"/>
          </w:tcPr>
          <w:p>
            <w:r>
              <w:rPr>
                <w:sz w:val="20"/>
              </w:rPr>
              <w:t>A bill for an act relating to sales of mixed drinks or cocktails for consumption off the premises and including effective date provisions.(See HF 433.)</w:t>
            </w:r>
          </w:p>
        </w:tc>
        <w:tc>
          <w:tcPr>
            <w:tcW w:w="4320" w:type="dxa"/>
            <w:noWrap w:val="false"/>
          </w:tcPr>
          <w:p>
            <w:r>
              <w:rPr>
                <w:sz w:val="20"/>
              </w:rPr>
              <w:t>Committee report, recommending amendment and passage. (2/21/23)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19">
              <w:r>
                <w:rPr>
                  <w:rStyle w:val="Hyperlink"/>
                </w:rPr>
                <w:t xml:space="preserve">SF 176</w:t>
              </w:r>
            </w:hyperlink>
          </w:p>
        </w:tc>
        <w:tc>
          <w:tcPr>
            <w:tcW w:w="3600" w:type="dxa"/>
            <w:noWrap w:val="false"/>
          </w:tcPr>
          <w:p>
            <w:r>
              <w:rPr>
                <w:sz w:val="20"/>
              </w:rPr>
              <w:t>A bill for an act relating to retail alcohol licenses for native wineries.</w:t>
            </w:r>
          </w:p>
        </w:tc>
        <w:tc>
          <w:tcPr>
            <w:tcW w:w="4320" w:type="dxa"/>
            <w:noWrap w:val="false"/>
          </w:tcPr>
          <w:p>
            <w:r>
              <w:rPr>
                <w:sz w:val="20"/>
              </w:rPr>
              <w:t>Subcommittee recommends passage. []. (2/7/23)</w:t>
            </w:r>
          </w:p>
        </w:tc>
        <w:tc>
          <w:tcPr>
            <w:tcW w:w="4320" w:type="dxa"/>
            <w:noWrap w:val="false"/>
          </w:tcPr>
          <w:p>
            <w:pPr>
              <w:spacing w:before="0" w:after="0"/>
            </w:pPr>
            <w:r>
              <w:t>Track (no public position, but follow it)</w:t>
            </w:r>
          </w:p>
          <w:p>
            <w:pPr>
              <w:spacing w:before="0" w:after="0"/>
            </w:pPr>
            <w:r>
              <w:t>Wholesalers were undecided but expressed concerns with going to three and perhaps more licenses. Native wineries brought this from a location in Senator Cournoyer's district. </w:t>
            </w:r>
          </w:p>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158" Type="http://schemas.openxmlformats.org/officeDocument/2006/relationships/hyperlink" Id="rId7"/><Relationship TargetMode="External" Target="https://www.legis.iowa.gov/legislation/BillBook?ga=90&amp;ba=HF205" Type="http://schemas.openxmlformats.org/officeDocument/2006/relationships/hyperlink" Id="rId8"/><Relationship TargetMode="External" Target="https://www.legis.iowa.gov/legislation/BillBook?ga=90&amp;ba=SF123" Type="http://schemas.openxmlformats.org/officeDocument/2006/relationships/hyperlink" Id="rId9"/><Relationship TargetMode="External" Target="https://www.legis.iowa.gov/legislation/BillBook?ga=90&amp;ba=HF433" Type="http://schemas.openxmlformats.org/officeDocument/2006/relationships/hyperlink" Id="rId10"/><Relationship TargetMode="External" Target="https://www.legis.iowa.gov/legislation/BillBook?ga=90&amp;ba=SF401" Type="http://schemas.openxmlformats.org/officeDocument/2006/relationships/hyperlink" Id="rId11"/><Relationship TargetMode="External" Target="https://www.legis.iowa.gov/legislation/BillBook?ga=90&amp;ba=HF677" Type="http://schemas.openxmlformats.org/officeDocument/2006/relationships/hyperlink" Id="rId12"/><Relationship TargetMode="External" Target="https://www.legis.iowa.gov/legislation/BillBook?ga=90&amp;ba=HF458" Type="http://schemas.openxmlformats.org/officeDocument/2006/relationships/hyperlink" Id="rId13"/><Relationship TargetMode="External" Target="https://www.legis.iowa.gov/legislation/BillBook?ga=90&amp;ba=SF575" Type="http://schemas.openxmlformats.org/officeDocument/2006/relationships/hyperlink" Id="rId14"/><Relationship TargetMode="External" Target="https://www.legis.iowa.gov/legislation/BillBook?ga=90&amp;ba=HF14" Type="http://schemas.openxmlformats.org/officeDocument/2006/relationships/hyperlink" Id="rId15"/><Relationship TargetMode="External" Target="https://www.legis.iowa.gov/legislation/BillBook?ga=90&amp;ba=HF83" Type="http://schemas.openxmlformats.org/officeDocument/2006/relationships/hyperlink" Id="rId16"/><Relationship TargetMode="External" Target="https://www.legis.iowa.gov/legislation/BillBook?ga=90&amp;ba=HF162" Type="http://schemas.openxmlformats.org/officeDocument/2006/relationships/hyperlink" Id="rId17"/><Relationship TargetMode="External" Target="https://www.legis.iowa.gov/legislation/BillBook?ga=90&amp;ba=HSB29" Type="http://schemas.openxmlformats.org/officeDocument/2006/relationships/hyperlink" Id="rId18"/><Relationship TargetMode="External" Target="https://www.legis.iowa.gov/legislation/BillBook?ga=90&amp;ba=SF176" Type="http://schemas.openxmlformats.org/officeDocument/2006/relationships/hyperlink" Id="rId19"/></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