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617</w:t>
              </w:r>
            </w:hyperlink>
          </w:p>
        </w:tc>
        <w:tc>
          <w:tcPr>
            <w:tcW w:w="3600" w:type="dxa"/>
            <w:noWrap w:val="false"/>
          </w:tcPr>
          <w:p>
            <w:r>
              <w:rPr>
                <w:sz w:val="20"/>
              </w:rPr>
              <w:t>A bill for an act relating to Iowa utilities board review of specified provisions and utility ratemaking procedures. (Formerly HSB 191.) Effective date: 07/01/2023.</w:t>
            </w:r>
          </w:p>
        </w:tc>
        <w:tc>
          <w:tcPr>
            <w:tcW w:w="4320" w:type="dxa"/>
            <w:noWrap w:val="false"/>
          </w:tcPr>
          <w:p>
            <w:r>
              <w:rPr>
                <w:sz w:val="20"/>
              </w:rPr>
              <w:t>Signed by Governor. (6/1/23)</w:t>
            </w:r>
            <w:br/>
            <w:r>
              <w:rPr>
                <w:sz w:val="20"/>
              </w:rPr>
              <w:t>Passed House, yeas 96, nays 0. (3/9/23)</w:t>
            </w:r>
            <w:br/>
            <w:r>
              <w:rPr>
                <w:sz w:val="20"/>
              </w:rPr>
              <w:t>Passed Senate, yeas 49, nays 0. (4/20/23)</w:t>
            </w:r>
            <w:br/>
            <w:r>
              <w:rPr>
                <w:sz w:val="20"/>
              </w:rPr>
              <w:t>Passed House, yeas 94, nays 0. (5/1/23)</w:t>
            </w:r>
          </w:p>
        </w:tc>
        <w:tc>
          <w:tcPr>
            <w:tcW w:w="4320" w:type="dxa"/>
            <w:noWrap w:val="false"/>
          </w:tcPr>
          <w:p>
            <w:pPr>
              <w:spacing w:before="0" w:after="0"/>
            </w:pPr>
            <w:r>
              <w:t>Support/For</w:t>
            </w:r>
          </w:p>
        </w:tc>
      </w:tr>
      <w:tr>
        <w:trPr>
          <w:cantSplit w:val="true"/>
        </w:trPr>
        <w:tc>
          <w:tcPr>
            <w:tcW w:w="2160" w:type="dxa"/>
            <w:noWrap w:val="false"/>
          </w:tcPr>
          <w:p>
            <w:hyperlink r:id="rId8">
              <w:r>
                <w:rPr>
                  <w:rStyle w:val="Hyperlink"/>
                </w:rPr>
                <w:t xml:space="preserve">HF 666</w:t>
              </w:r>
            </w:hyperlink>
          </w:p>
        </w:tc>
        <w:tc>
          <w:tcPr>
            <w:tcW w:w="3600" w:type="dxa"/>
            <w:noWrap w:val="false"/>
          </w:tcPr>
          <w:p>
            <w:r>
              <w:rPr>
                <w:sz w:val="20"/>
              </w:rPr>
              <w:t>A bill for an act providing for programs and regulations administered and enforced by the department of agriculture and land stewardship, providing fees, providing for the allocation of moneys, making penalties applicable, and including effective date provisions. (Formerly HF 277, HSB 113.) Effective date: 06/01/2023, 07/01/2023.</w:t>
            </w:r>
          </w:p>
        </w:tc>
        <w:tc>
          <w:tcPr>
            <w:tcW w:w="4320" w:type="dxa"/>
            <w:noWrap w:val="false"/>
          </w:tcPr>
          <w:p>
            <w:r>
              <w:rPr>
                <w:sz w:val="20"/>
              </w:rPr>
              <w:t>Signed by Governor. (6/1/23)</w:t>
            </w:r>
            <w:br/>
            <w:r>
              <w:rPr>
                <w:sz w:val="20"/>
              </w:rPr>
              <w:t>Passed House, yeas 98, nays 0. (4/11/23)</w:t>
            </w:r>
            <w:br/>
            <w:r>
              <w:rPr>
                <w:sz w:val="20"/>
              </w:rPr>
              <w:t>Passed Senate, yeas 48, nays 0. (5/2/23)</w:t>
            </w:r>
            <w:br/>
            <w:r>
              <w:rPr>
                <w:sz w:val="20"/>
              </w:rPr>
              <w:t>Passed House, yeas 93, nays 0. (5/3/23)</w:t>
            </w:r>
          </w:p>
        </w:tc>
        <w:tc>
          <w:tcPr>
            <w:tcW w:w="4320" w:type="dxa"/>
            <w:noWrap w:val="false"/>
          </w:tcPr>
          <w:p>
            <w:pPr>
              <w:spacing w:before="0" w:after="0"/>
            </w:pPr>
            <w:r>
              <w:t/>
            </w:r>
          </w:p>
        </w:tc>
      </w:tr>
      <w:tr>
        <w:trPr>
          <w:cantSplit w:val="true"/>
        </w:trPr>
        <w:tc>
          <w:tcPr>
            <w:tcW w:w="2160" w:type="dxa"/>
            <w:noWrap w:val="false"/>
          </w:tcPr>
          <w:p>
            <w:hyperlink r:id="rId9">
              <w:r>
                <w:rPr>
                  <w:rStyle w:val="Hyperlink"/>
                </w:rPr>
                <w:t xml:space="preserve">HF 714</w:t>
              </w:r>
            </w:hyperlink>
          </w:p>
        </w:tc>
        <w:tc>
          <w:tcPr>
            <w:tcW w:w="3600" w:type="dxa"/>
            <w:noWrap w:val="false"/>
          </w:tcPr>
          <w:p>
            <w:r>
              <w:rPr>
                <w:sz w:val="20"/>
              </w:rPr>
              <w:t>A bill for an act relating to construction projects transporting electricity and water and including retroactive applicability provisions. (Formerly HSB 246.) Effective date: 07/01/2023. Applicability date: 09/01/2020.</w:t>
            </w:r>
          </w:p>
        </w:tc>
        <w:tc>
          <w:tcPr>
            <w:tcW w:w="4320" w:type="dxa"/>
            <w:noWrap w:val="false"/>
          </w:tcPr>
          <w:p>
            <w:r>
              <w:rPr>
                <w:sz w:val="20"/>
              </w:rPr>
              <w:t>Signed by Governor. (6/1/23)</w:t>
            </w:r>
            <w:br/>
            <w:r>
              <w:rPr>
                <w:sz w:val="20"/>
              </w:rPr>
              <w:t>Passed House, yeas 95, nays 0. (4/19/23)</w:t>
            </w:r>
            <w:br/>
            <w:r>
              <w:rPr>
                <w:sz w:val="20"/>
              </w:rPr>
              <w:t>Passed Senate, yeas 49, nays 0. (4/26/23)</w:t>
            </w:r>
            <w:br/>
            <w:r>
              <w:rPr>
                <w:sz w:val="20"/>
              </w:rPr>
              <w:t>Passed House, yeas 94, nays 0. (5/1/23)</w:t>
            </w:r>
          </w:p>
        </w:tc>
        <w:tc>
          <w:tcPr>
            <w:tcW w:w="4320" w:type="dxa"/>
            <w:noWrap w:val="false"/>
          </w:tcPr>
          <w:p>
            <w:pPr>
              <w:spacing w:before="0" w:after="0"/>
            </w:pPr>
            <w:r>
              <w:t/>
            </w:r>
          </w:p>
        </w:tc>
      </w:tr>
      <w:tr>
        <w:trPr>
          <w:cantSplit w:val="true"/>
        </w:trPr>
        <w:tc>
          <w:tcPr>
            <w:tcW w:w="2160" w:type="dxa"/>
            <w:noWrap w:val="false"/>
          </w:tcPr>
          <w:p>
            <w:hyperlink r:id="rId10">
              <w:r>
                <w:rPr>
                  <w:rStyle w:val="Hyperlink"/>
                </w:rPr>
                <w:t xml:space="preserve">HF 718</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modifying certain bonding procedures, making penalties applicable, and including effective date, applicability, and retroactive applicability provisions. (Formerly HF 1.) Effective date: 05/04/2023, 07/01/2023, 07/01/2024. Applicability date: 01/01/2023, 07/01/2023, 07/01/2024.</w:t>
            </w:r>
          </w:p>
        </w:tc>
        <w:tc>
          <w:tcPr>
            <w:tcW w:w="4320" w:type="dxa"/>
            <w:noWrap w:val="false"/>
          </w:tcPr>
          <w:p>
            <w:r>
              <w:rPr>
                <w:sz w:val="20"/>
              </w:rPr>
              <w:t>Fiscal note. (5/24/23)</w:t>
            </w:r>
            <w:br/>
            <w:r>
              <w:rPr>
                <w:sz w:val="20"/>
              </w:rPr>
              <w:t>Passed House, yeas 93, nays 1. (4/19/23)</w:t>
            </w:r>
            <w:br/>
            <w:r>
              <w:rPr>
                <w:sz w:val="20"/>
              </w:rPr>
              <w:t>Passed Senate, yeas 49, nays 0. (5/2/23)</w:t>
            </w:r>
            <w:br/>
            <w:r>
              <w:rPr>
                <w:sz w:val="20"/>
              </w:rPr>
              <w:t>Passed House, yeas 94, nays 1. (5/2/23)</w:t>
            </w:r>
          </w:p>
        </w:tc>
        <w:tc>
          <w:tcPr>
            <w:tcW w:w="4320" w:type="dxa"/>
            <w:noWrap w:val="false"/>
          </w:tcPr>
          <w:p>
            <w:pPr>
              <w:spacing w:before="0" w:after="0"/>
            </w:pPr>
            <w:r>
              <w:t/>
            </w:r>
          </w:p>
        </w:tc>
      </w:tr>
      <w:tr>
        <w:trPr>
          <w:cantSplit w:val="true"/>
        </w:trPr>
        <w:tc>
          <w:tcPr>
            <w:tcW w:w="2160" w:type="dxa"/>
            <w:noWrap w:val="false"/>
          </w:tcPr>
          <w:p>
            <w:hyperlink r:id="rId11">
              <w:r>
                <w:rPr>
                  <w:rStyle w:val="Hyperlink"/>
                </w:rPr>
                <w:t xml:space="preserve">SF 181</w:t>
              </w:r>
            </w:hyperlink>
          </w:p>
        </w:tc>
        <w:tc>
          <w:tcPr>
            <w:tcW w:w="3600" w:type="dxa"/>
            <w:noWrap w:val="false"/>
          </w:tcPr>
          <w:p>
            <w:r>
              <w:rPr>
                <w:sz w:val="20"/>
              </w:rPr>
              <w:t>A bill for an act relating to property taxes and income taxes by modifying the calculation of assessment limitations for certain property, amending provisions relating to certain tax withholding requirements and tax credits, and including effective date and retroactive applicability provisions. (Formerly SSB 1056.) Effective date: 02/20/2023. Applicability date: 01/01/2022, 01/01/2023.</w:t>
            </w:r>
          </w:p>
        </w:tc>
        <w:tc>
          <w:tcPr>
            <w:tcW w:w="4320" w:type="dxa"/>
            <w:noWrap w:val="false"/>
          </w:tcPr>
          <w:p>
            <w:r>
              <w:rPr>
                <w:sz w:val="20"/>
              </w:rPr>
              <w:t>Fiscal note. (5/16/23)</w:t>
            </w:r>
            <w:br/>
            <w:r>
              <w:rPr>
                <w:sz w:val="20"/>
              </w:rPr>
              <w:t>Passed Senate, yeas 49, nays 0. (2/1/23)</w:t>
            </w:r>
            <w:br/>
            <w:r>
              <w:rPr>
                <w:sz w:val="20"/>
              </w:rPr>
              <w:t>Passed House, yeas 86, nays 13. (2/15/23)</w:t>
            </w:r>
          </w:p>
        </w:tc>
        <w:tc>
          <w:tcPr>
            <w:tcW w:w="4320" w:type="dxa"/>
            <w:noWrap w:val="false"/>
          </w:tcPr>
          <w:p>
            <w:pPr>
              <w:spacing w:before="0" w:after="0"/>
            </w:pPr>
            <w:r>
              <w:t/>
            </w:r>
          </w:p>
        </w:tc>
      </w:tr>
      <w:tr>
        <w:trPr>
          <w:cantSplit w:val="true"/>
        </w:trPr>
        <w:tc>
          <w:tcPr>
            <w:tcW w:w="2160" w:type="dxa"/>
            <w:noWrap w:val="false"/>
          </w:tcPr>
          <w:p>
            <w:hyperlink r:id="rId12">
              <w:r>
                <w:rPr>
                  <w:rStyle w:val="Hyperlink"/>
                </w:rPr>
                <w:t xml:space="preserve">SF 228</w:t>
              </w:r>
            </w:hyperlink>
          </w:p>
          <w:p>
            <w:hyperlink r:id="rId13">
              <w:r>
                <w:rPr>
                  <w:rStyle w:val="Hyperlink"/>
                </w:rPr>
                <w:t xml:space="preserve">CO:HF 201</w:t>
              </w:r>
            </w:hyperlink>
          </w:p>
        </w:tc>
        <w:tc>
          <w:tcPr>
            <w:tcW w:w="3600" w:type="dxa"/>
            <w:noWrap w:val="false"/>
          </w:tcPr>
          <w:p>
            <w:r>
              <w:rPr>
                <w:sz w:val="20"/>
              </w:rPr>
              <w:t>A bill for an act relating to tort liability, including employer liability and damages in civil actions involving commercial motor vehicles. (Formerly SSB 1114.) Effective date: 07/01/2023.</w:t>
            </w:r>
          </w:p>
        </w:tc>
        <w:tc>
          <w:tcPr>
            <w:tcW w:w="4320" w:type="dxa"/>
            <w:noWrap w:val="false"/>
          </w:tcPr>
          <w:p>
            <w:r>
              <w:rPr>
                <w:sz w:val="20"/>
              </w:rPr>
              <w:t>Signed by Governor. (5/12/23)</w:t>
            </w:r>
            <w:br/>
            <w:r>
              <w:rPr>
                <w:sz w:val="20"/>
              </w:rPr>
              <w:t>Passed Senate, yeas 30, nays 19. (2/22/23)</w:t>
            </w:r>
            <w:br/>
            <w:r>
              <w:rPr>
                <w:sz w:val="20"/>
              </w:rPr>
              <w:t>Passed House, yeas 58, nays 42. (3/28/23)</w:t>
            </w:r>
            <w:br/>
            <w:r>
              <w:rPr>
                <w:sz w:val="20"/>
              </w:rPr>
              <w:t>Passed Senate, yeas 31, nays 19. (4/17/23)</w:t>
            </w:r>
          </w:p>
        </w:tc>
        <w:tc>
          <w:tcPr>
            <w:tcW w:w="4320" w:type="dxa"/>
            <w:noWrap w:val="false"/>
          </w:tcPr>
          <w:p>
            <w:pPr>
              <w:spacing w:before="0" w:after="0"/>
            </w:pPr>
            <w:r>
              <w:t/>
            </w:r>
          </w:p>
        </w:tc>
      </w:tr>
      <w:tr>
        <w:trPr>
          <w:cantSplit w:val="true"/>
        </w:trPr>
        <w:tc>
          <w:tcPr>
            <w:tcW w:w="2160" w:type="dxa"/>
            <w:noWrap w:val="false"/>
          </w:tcPr>
          <w:p>
            <w:hyperlink r:id="rId14">
              <w:r>
                <w:rPr>
                  <w:rStyle w:val="Hyperlink"/>
                </w:rPr>
                <w:t xml:space="preserve">SF 527</w:t>
              </w:r>
            </w:hyperlink>
          </w:p>
        </w:tc>
        <w:tc>
          <w:tcPr>
            <w:tcW w:w="3600" w:type="dxa"/>
            <w:noWrap w:val="false"/>
          </w:tcPr>
          <w:p>
            <w:r>
              <w:rPr>
                <w:sz w:val="20"/>
              </w:rPr>
              <w:t>A bill for an act relating to vehicles of excessive size and weight, including highways and streets upon which movement of such vehicles is permitted and warning lights on such vehicles. (Formerly SSB 1187.) Effective date: 07/01/2023.</w:t>
            </w:r>
          </w:p>
        </w:tc>
        <w:tc>
          <w:tcPr>
            <w:tcW w:w="4320" w:type="dxa"/>
            <w:noWrap w:val="false"/>
          </w:tcPr>
          <w:p>
            <w:r>
              <w:rPr>
                <w:sz w:val="20"/>
              </w:rPr>
              <w:t>Signed by Governor. (5/3/23)</w:t>
            </w:r>
            <w:br/>
            <w:r>
              <w:rPr>
                <w:sz w:val="20"/>
              </w:rPr>
              <w:t>Passed Senate, yeas 48, nays 0. (3/15/23)</w:t>
            </w:r>
            <w:br/>
            <w:r>
              <w:rPr>
                <w:sz w:val="20"/>
              </w:rPr>
              <w:t>Passed House, yeas 98, nays 0. (4/11/23)</w:t>
            </w:r>
            <w:br/>
            <w:r>
              <w:rPr>
                <w:sz w:val="20"/>
              </w:rPr>
              <w:t>Passed Senate, yeas 49, nays 0. (4/24/23)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5">
              <w:r>
                <w:rPr>
                  <w:rStyle w:val="Hyperlink"/>
                </w:rPr>
                <w:t xml:space="preserve">HF 206</w:t>
              </w:r>
            </w:hyperlink>
          </w:p>
        </w:tc>
        <w:tc>
          <w:tcPr>
            <w:tcW w:w="3600" w:type="dxa"/>
            <w:noWrap w:val="false"/>
          </w:tcPr>
          <w:p>
            <w:r>
              <w:rPr>
                <w:sz w:val="20"/>
              </w:rPr>
              <w:t>A bill for an act relating to the assessment of property containing certain aboveground storage tanks and including effective date and retroactive applicability provisions.(Formerly HSB 67.)</w:t>
            </w:r>
          </w:p>
        </w:tc>
        <w:tc>
          <w:tcPr>
            <w:tcW w:w="4320" w:type="dxa"/>
            <w:noWrap w:val="false"/>
          </w:tcPr>
          <w:p>
            <w:r>
              <w:rPr>
                <w:sz w:val="20"/>
              </w:rPr>
              <w:t>Committee report, recommending passage. (5/3/23)</w:t>
            </w:r>
          </w:p>
        </w:tc>
        <w:tc>
          <w:tcPr>
            <w:tcW w:w="4320" w:type="dxa"/>
            <w:noWrap w:val="false"/>
          </w:tcPr>
          <w:p>
            <w:pPr>
              <w:spacing w:before="0" w:after="0"/>
            </w:pPr>
            <w:r>
              <w:t/>
            </w:r>
          </w:p>
        </w:tc>
      </w:tr>
      <w:tr>
        <w:trPr>
          <w:cantSplit w:val="true"/>
        </w:trPr>
        <w:tc>
          <w:tcPr>
            <w:tcW w:w="2160" w:type="dxa"/>
            <w:noWrap w:val="false"/>
          </w:tcPr>
          <w:p>
            <w:hyperlink r:id="rId16">
              <w:r>
                <w:rPr>
                  <w:rStyle w:val="Hyperlink"/>
                </w:rPr>
                <w:t xml:space="preserve">HF 585</w:t>
              </w:r>
            </w:hyperlink>
          </w:p>
          <w:p>
            <w:hyperlink r:id="rId17">
              <w:r>
                <w:rPr>
                  <w:rStyle w:val="Hyperlink"/>
                </w:rPr>
                <w:t xml:space="preserve">CO:SF 11</w:t>
              </w:r>
            </w:hyperlink>
          </w:p>
        </w:tc>
        <w:tc>
          <w:tcPr>
            <w:tcW w:w="3600" w:type="dxa"/>
            <w:noWrap w:val="false"/>
          </w:tcPr>
          <w:p>
            <w:r>
              <w:rPr>
                <w:sz w:val="20"/>
              </w:rPr>
              <w:t>A bill for an act relating to regional representation and residency requirements for members of the state transportation commission, and including effective date and applicability provisions.(Formerly HF 231.)</w:t>
            </w:r>
          </w:p>
        </w:tc>
        <w:tc>
          <w:tcPr>
            <w:tcW w:w="4320" w:type="dxa"/>
            <w:noWrap w:val="false"/>
          </w:tcPr>
          <w:p>
            <w:r>
              <w:rPr>
                <w:sz w:val="20"/>
              </w:rPr>
              <w:t>Subcommittee recommends passage. []. (3/23/23)</w:t>
            </w:r>
          </w:p>
        </w:tc>
        <w:tc>
          <w:tcPr>
            <w:tcW w:w="4320" w:type="dxa"/>
            <w:noWrap w:val="false"/>
          </w:tcPr>
          <w:p>
            <w:pPr>
              <w:spacing w:before="0" w:after="0"/>
            </w:pPr>
            <w:r>
              <w:t/>
            </w:r>
          </w:p>
        </w:tc>
      </w:tr>
      <w:tr>
        <w:trPr>
          <w:cantSplit w:val="true"/>
        </w:trPr>
        <w:tc>
          <w:tcPr>
            <w:tcW w:w="2160" w:type="dxa"/>
            <w:noWrap w:val="false"/>
          </w:tcPr>
          <w:p>
            <w:hyperlink r:id="rId18">
              <w:r>
                <w:rPr>
                  <w:rStyle w:val="Hyperlink"/>
                </w:rPr>
                <w:t xml:space="preserve">SF 569</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making penalties applicable, and including effective date, retroactive applicability, and applicability provisions. (Formerly SSB 1218.)</w:t>
            </w:r>
          </w:p>
        </w:tc>
        <w:tc>
          <w:tcPr>
            <w:tcW w:w="4320" w:type="dxa"/>
            <w:noWrap w:val="false"/>
          </w:tcPr>
          <w:p>
            <w:r>
              <w:rPr>
                <w:sz w:val="20"/>
              </w:rPr>
              <w:t>Fiscal note. (4/26/23)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9">
              <w:r>
                <w:rPr>
                  <w:rStyle w:val="Hyperlink"/>
                </w:rPr>
                <w:t xml:space="preserve">HF 385</w:t>
              </w:r>
            </w:hyperlink>
          </w:p>
        </w:tc>
        <w:tc>
          <w:tcPr>
            <w:tcW w:w="3600" w:type="dxa"/>
            <w:noWrap w:val="false"/>
          </w:tcPr>
          <w:p>
            <w:r>
              <w:rPr>
                <w:sz w:val="20"/>
              </w:rPr>
              <w:t>A bill for an act relating to electric vehicle charging stations at rest areas and the state capitol complex grounds.</w:t>
            </w:r>
          </w:p>
        </w:tc>
        <w:tc>
          <w:tcPr>
            <w:tcW w:w="4320" w:type="dxa"/>
            <w:noWrap w:val="false"/>
          </w:tcPr>
          <w:p>
            <w:r>
              <w:rPr>
                <w:sz w:val="20"/>
              </w:rPr>
              <w:t>Introduced, referred to Transportation. (2/21/23)</w:t>
            </w:r>
          </w:p>
        </w:tc>
        <w:tc>
          <w:tcPr>
            <w:tcW w:w="4320" w:type="dxa"/>
            <w:noWrap w:val="false"/>
          </w:tcPr>
          <w:p>
            <w:pPr>
              <w:spacing w:before="0" w:after="0"/>
            </w:pPr>
            <w:r>
              <w:t/>
            </w:r>
          </w:p>
        </w:tc>
      </w:tr>
      <w:tr>
        <w:trPr>
          <w:cantSplit w:val="true"/>
        </w:trPr>
        <w:tc>
          <w:tcPr>
            <w:tcW w:w="2160" w:type="dxa"/>
            <w:noWrap w:val="false"/>
          </w:tcPr>
          <w:p>
            <w:hyperlink r:id="rId20">
              <w:r>
                <w:rPr>
                  <w:rStyle w:val="Hyperlink"/>
                </w:rPr>
                <w:t xml:space="preserve">HF 496</w:t>
              </w:r>
            </w:hyperlink>
          </w:p>
        </w:tc>
        <w:tc>
          <w:tcPr>
            <w:tcW w:w="3600" w:type="dxa"/>
            <w:noWrap w:val="false"/>
          </w:tcPr>
          <w:p>
            <w:r>
              <w:rPr>
                <w:sz w:val="20"/>
              </w:rPr>
              <w:t>A bill for an act relating to inspections for violations relating to retailers of cigarettes, tobacco, tobacco products, alternative nicotine products, and vapor products that provide for use or consumption of regulated products on the retailer's premises.(Formerly HSB 184.)</w:t>
            </w:r>
          </w:p>
        </w:tc>
        <w:tc>
          <w:tcPr>
            <w:tcW w:w="4320" w:type="dxa"/>
            <w:noWrap w:val="false"/>
          </w:tcPr>
          <w:p>
            <w:r>
              <w:rPr>
                <w:sz w:val="20"/>
              </w:rPr>
              <w:t>Rereferred to State Government. (5/4/23)</w:t>
            </w:r>
          </w:p>
        </w:tc>
        <w:tc>
          <w:tcPr>
            <w:tcW w:w="4320" w:type="dxa"/>
            <w:noWrap w:val="false"/>
          </w:tcPr>
          <w:p>
            <w:pPr>
              <w:spacing w:before="0" w:after="0"/>
            </w:pPr>
            <w:r>
              <w:t/>
            </w:r>
          </w:p>
        </w:tc>
      </w:tr>
      <w:tr>
        <w:trPr>
          <w:cantSplit w:val="true"/>
        </w:trPr>
        <w:tc>
          <w:tcPr>
            <w:tcW w:w="2160" w:type="dxa"/>
            <w:noWrap w:val="false"/>
          </w:tcPr>
          <w:p>
            <w:hyperlink r:id="rId21">
              <w:r>
                <w:rPr>
                  <w:rStyle w:val="Hyperlink"/>
                </w:rPr>
                <w:t xml:space="preserve">HSB 120</w:t>
              </w:r>
            </w:hyperlink>
          </w:p>
        </w:tc>
        <w:tc>
          <w:tcPr>
            <w:tcW w:w="3600" w:type="dxa"/>
            <w:noWrap w:val="false"/>
          </w:tcPr>
          <w:p>
            <w:r>
              <w:rPr>
                <w:sz w:val="20"/>
              </w:rPr>
              <w:t>A bill for an act relating to the calculation of assessment limitations for residential property and including effective date and retroactive applicability provisions.</w:t>
            </w:r>
          </w:p>
        </w:tc>
        <w:tc>
          <w:tcPr>
            <w:tcW w:w="4320" w:type="dxa"/>
            <w:noWrap w:val="false"/>
          </w:tcPr>
          <w:p>
            <w:r>
              <w:rPr>
                <w:sz w:val="20"/>
              </w:rPr>
              <w:t>Subcommittee: Kaufmann, Bloomingdale, Forbes, Harris and Jacoby. (2/1/23)</w:t>
            </w:r>
          </w:p>
        </w:tc>
        <w:tc>
          <w:tcPr>
            <w:tcW w:w="4320" w:type="dxa"/>
            <w:noWrap w:val="false"/>
          </w:tcPr>
          <w:p>
            <w:pPr>
              <w:spacing w:before="0" w:after="0"/>
            </w:pPr>
            <w:r>
              <w:t/>
            </w:r>
          </w:p>
        </w:tc>
      </w:tr>
      <w:tr>
        <w:trPr>
          <w:cantSplit w:val="true"/>
        </w:trPr>
        <w:tc>
          <w:tcPr>
            <w:tcW w:w="2160" w:type="dxa"/>
            <w:noWrap w:val="false"/>
          </w:tcPr>
          <w:p>
            <w:hyperlink r:id="rId22">
              <w:r>
                <w:rPr>
                  <w:rStyle w:val="Hyperlink"/>
                </w:rPr>
                <w:t xml:space="preserve">HSB 165</w:t>
              </w:r>
            </w:hyperlink>
          </w:p>
        </w:tc>
        <w:tc>
          <w:tcPr>
            <w:tcW w:w="3600" w:type="dxa"/>
            <w:noWrap w:val="false"/>
          </w:tcPr>
          <w:p>
            <w:r>
              <w:rPr>
                <w:sz w:val="20"/>
              </w:rPr>
              <w:t>A bill for an act relating to public utilities that apply for an electric fuel dealer license or an electric fuel user license.</w:t>
            </w:r>
          </w:p>
        </w:tc>
        <w:tc>
          <w:tcPr>
            <w:tcW w:w="4320" w:type="dxa"/>
            <w:noWrap w:val="false"/>
          </w:tcPr>
          <w:p>
            <w:r>
              <w:rPr>
                <w:sz w:val="20"/>
              </w:rPr>
              <w:t>Tabled until future meeting. Vote Total: 2-0. (2/21/23)</w:t>
            </w:r>
          </w:p>
        </w:tc>
        <w:tc>
          <w:tcPr>
            <w:tcW w:w="4320" w:type="dxa"/>
            <w:noWrap w:val="false"/>
          </w:tcPr>
          <w:p>
            <w:pPr>
              <w:spacing w:before="0" w:after="0"/>
            </w:pPr>
            <w:r>
              <w:t>Support/For</w:t>
            </w:r>
          </w:p>
          <w:p>
            <w:pPr>
              <w:spacing w:before="0" w:after="0"/>
            </w:pPr>
            <w:r>
              <w:t>HSB 165 was brought forward by the Americans for Affordable Clean Energy organization with the backing of many fuel retailers including Truckstops, Casey's, Kum &amp; Go, and Kwik Star. The bill's intention is to "level the playing field" between retailers and utilities. The bill advocates stressed that utilities with a monopoly have an unfair advantage in the EV charging market over retailers. MidAmerican, Alliant, and the RECs spoke strongly against the bill arguing they are providing a public service available to all. The subcommittee members all agreed the bill needed more work before advancing. </w:t>
            </w:r>
          </w:p>
          <w:p>
            <w:pPr>
              <w:spacing w:before="0" w:after="0"/>
            </w:pPr>
            <w:r>
              <w:t/>
            </w:r>
          </w:p>
        </w:tc>
      </w:tr>
      <w:tr>
        <w:trPr>
          <w:cantSplit w:val="true"/>
        </w:trPr>
        <w:tc>
          <w:tcPr>
            <w:tcW w:w="2160" w:type="dxa"/>
            <w:noWrap w:val="false"/>
          </w:tcPr>
          <w:p>
            <w:hyperlink r:id="rId23">
              <w:r>
                <w:rPr>
                  <w:rStyle w:val="Hyperlink"/>
                </w:rPr>
                <w:t xml:space="preserve">SF 11</w:t>
              </w:r>
            </w:hyperlink>
          </w:p>
          <w:p>
            <w:hyperlink r:id="rId24">
              <w:r>
                <w:rPr>
                  <w:rStyle w:val="Hyperlink"/>
                </w:rPr>
                <w:t xml:space="preserve">CO:HF 231</w:t>
              </w:r>
            </w:hyperlink>
          </w:p>
        </w:tc>
        <w:tc>
          <w:tcPr>
            <w:tcW w:w="3600" w:type="dxa"/>
            <w:noWrap w:val="false"/>
          </w:tcPr>
          <w:p>
            <w:r>
              <w:rPr>
                <w:sz w:val="20"/>
              </w:rPr>
              <w:t>A bill for an act relating to regional representation and residency requirements for members of the state transportation commission, and including effective date and applicability provisions.</w:t>
            </w:r>
          </w:p>
        </w:tc>
        <w:tc>
          <w:tcPr>
            <w:tcW w:w="4320" w:type="dxa"/>
            <w:noWrap w:val="false"/>
          </w:tcPr>
          <w:p>
            <w:r>
              <w:rPr>
                <w:sz w:val="20"/>
              </w:rPr>
              <w:t>Subcommittee: Zumbach, Bennett, and Brown. (1/19/23)</w:t>
            </w:r>
          </w:p>
        </w:tc>
        <w:tc>
          <w:tcPr>
            <w:tcW w:w="4320" w:type="dxa"/>
            <w:noWrap w:val="false"/>
          </w:tcPr>
          <w:p>
            <w:pPr>
              <w:spacing w:before="0" w:after="0"/>
            </w:pPr>
            <w:r>
              <w:t/>
            </w:r>
          </w:p>
        </w:tc>
      </w:tr>
      <w:tr>
        <w:trPr>
          <w:cantSplit w:val="true"/>
        </w:trPr>
        <w:tc>
          <w:tcPr>
            <w:tcW w:w="2160" w:type="dxa"/>
            <w:noWrap w:val="false"/>
          </w:tcPr>
          <w:p>
            <w:hyperlink r:id="rId25">
              <w:r>
                <w:rPr>
                  <w:rStyle w:val="Hyperlink"/>
                </w:rPr>
                <w:t xml:space="preserve">SF 356</w:t>
              </w:r>
            </w:hyperlink>
          </w:p>
        </w:tc>
        <w:tc>
          <w:tcPr>
            <w:tcW w:w="3600" w:type="dxa"/>
            <w:noWrap w:val="false"/>
          </w:tcPr>
          <w:p>
            <w:r>
              <w:rPr>
                <w:sz w:val="20"/>
              </w:rPr>
              <w:t>A bill for an act relating to local government property taxes, financial authority, operations, and budgets, and including effective date and applicability provisions.(Formerly SSB 1124.)</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26">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27">
              <w:r>
                <w:rPr>
                  <w:rStyle w:val="Hyperlink"/>
                </w:rPr>
                <w:t xml:space="preserve">SF 551</w:t>
              </w:r>
            </w:hyperlink>
          </w:p>
        </w:tc>
        <w:tc>
          <w:tcPr>
            <w:tcW w:w="3600" w:type="dxa"/>
            <w:noWrap w:val="false"/>
          </w:tcPr>
          <w:p>
            <w:r>
              <w:rPr>
                <w:sz w:val="20"/>
              </w:rPr>
              <w:t>A bill for an act relating to decoupling federal additional first-year depreciation for Iowa tax purposes, and including effective date and retroactive applicability provisions.(Formerly SSB 1127.)</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28">
              <w:r>
                <w:rPr>
                  <w:rStyle w:val="Hyperlink"/>
                </w:rPr>
                <w:t xml:space="preserve">SF 552</w:t>
              </w:r>
            </w:hyperlink>
          </w:p>
        </w:tc>
        <w:tc>
          <w:tcPr>
            <w:tcW w:w="3600" w:type="dxa"/>
            <w:noWrap w:val="false"/>
          </w:tcPr>
          <w:p>
            <w:r>
              <w:rPr>
                <w:sz w:val="20"/>
              </w:rPr>
              <w:t>A bill for an act relating to individual and corporate income taxes, the insurance premium tax, and including the contingent repeal of the individual income tax, and including retroactive applicability and effective date provisions.(Formerly SSB 1126.)</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29">
              <w:r>
                <w:rPr>
                  <w:rStyle w:val="Hyperlink"/>
                </w:rPr>
                <w:t xml:space="preserve">SSB 1056</w:t>
              </w:r>
            </w:hyperlink>
          </w:p>
        </w:tc>
        <w:tc>
          <w:tcPr>
            <w:tcW w:w="3600" w:type="dxa"/>
            <w:noWrap w:val="false"/>
          </w:tcPr>
          <w:p>
            <w:r>
              <w:rPr>
                <w:sz w:val="20"/>
              </w:rPr>
              <w:t>A bill for an act relating to the calculation of assessment limitations for residential property and including effective date and retroactive applicability provisions.(See SF 181.)</w:t>
            </w:r>
          </w:p>
        </w:tc>
        <w:tc>
          <w:tcPr>
            <w:tcW w:w="4320" w:type="dxa"/>
            <w:noWrap w:val="false"/>
          </w:tcPr>
          <w:p>
            <w:r>
              <w:rPr>
                <w:sz w:val="20"/>
              </w:rPr>
              <w:t>Committee report approving bill, renumbered as []. (1/31/23)</w:t>
            </w:r>
          </w:p>
        </w:tc>
        <w:tc>
          <w:tcPr>
            <w:tcW w:w="4320" w:type="dxa"/>
            <w:noWrap w:val="false"/>
          </w:tcPr>
          <w:p>
            <w:pPr>
              <w:spacing w:before="0" w:after="0"/>
            </w:pPr>
            <w:r>
              <w:t/>
            </w:r>
          </w:p>
          <w:p>
            <w:pPr>
              <w:spacing w:before="0" w:after="0"/>
            </w:pPr>
            <w:r>
              <w:t>Senator Dawson is committed to moving SB 1056 as amended through the process as it is a fix to a change to include multi-residential property in community rollbacks for property taxes last year. Changing this inclusion now will impact local city and county government budgets, but would also lead to reduced property taxes. The League of Cities and several mayors asked for a one-year extension on the legislation as their budgets are mostly complete to date. </w:t>
            </w:r>
          </w:p>
          <w:p>
            <w:pPr>
              <w:spacing w:before="0" w:after="0"/>
            </w:pPr>
            <w:r>
              <w:t/>
            </w:r>
          </w:p>
        </w:tc>
      </w:tr>
      <w:tr>
        <w:trPr>
          <w:cantSplit w:val="true"/>
        </w:trPr>
        <w:tc>
          <w:tcPr>
            <w:tcW w:w="2160" w:type="dxa"/>
            <w:noWrap w:val="false"/>
          </w:tcPr>
          <w:p>
            <w:hyperlink r:id="rId30">
              <w:r>
                <w:rPr>
                  <w:rStyle w:val="Hyperlink"/>
                </w:rPr>
                <w:t xml:space="preserve">SSB 1158</w:t>
              </w:r>
            </w:hyperlink>
          </w:p>
        </w:tc>
        <w:tc>
          <w:tcPr>
            <w:tcW w:w="3600" w:type="dxa"/>
            <w:noWrap w:val="false"/>
          </w:tcPr>
          <w:p>
            <w:r>
              <w:rPr>
                <w:sz w:val="20"/>
              </w:rPr>
              <w:t>A bill for an act relating to diesel fuel priority for a public utility.</w:t>
            </w:r>
          </w:p>
        </w:tc>
        <w:tc>
          <w:tcPr>
            <w:tcW w:w="4320" w:type="dxa"/>
            <w:noWrap w:val="false"/>
          </w:tcPr>
          <w:p>
            <w:r>
              <w:rPr>
                <w:sz w:val="20"/>
              </w:rPr>
              <w:t>Subcommittee recommends amendment and passage. []. (2/28/23)</w:t>
            </w:r>
          </w:p>
        </w:tc>
        <w:tc>
          <w:tcPr>
            <w:tcW w:w="4320" w:type="dxa"/>
            <w:noWrap w:val="false"/>
          </w:tcPr>
          <w:p>
            <w:pPr>
              <w:spacing w:before="0" w:after="0"/>
            </w:pPr>
            <w:r>
              <w:t>Monitor/Undecided</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617" Type="http://schemas.openxmlformats.org/officeDocument/2006/relationships/hyperlink" Id="rId7"/><Relationship TargetMode="External" Target="https://www.legis.iowa.gov/legislation/BillBook?ga=90&amp;ba=HF666" Type="http://schemas.openxmlformats.org/officeDocument/2006/relationships/hyperlink" Id="rId8"/><Relationship TargetMode="External" Target="https://www.legis.iowa.gov/legislation/BillBook?ga=90&amp;ba=HF714" Type="http://schemas.openxmlformats.org/officeDocument/2006/relationships/hyperlink" Id="rId9"/><Relationship TargetMode="External" Target="https://www.legis.iowa.gov/legislation/BillBook?ga=90&amp;ba=HF718" Type="http://schemas.openxmlformats.org/officeDocument/2006/relationships/hyperlink" Id="rId10"/><Relationship TargetMode="External" Target="https://www.legis.iowa.gov/legislation/BillBook?ga=90&amp;ba=SF181" Type="http://schemas.openxmlformats.org/officeDocument/2006/relationships/hyperlink" Id="rId11"/><Relationship TargetMode="External" Target="https://www.legis.iowa.gov/legislation/BillBook?ga=90&amp;ba=SF228" Type="http://schemas.openxmlformats.org/officeDocument/2006/relationships/hyperlink" Id="rId12"/><Relationship TargetMode="External" Target="https://www.legis.iowa.gov/legislation/BillBook?ga=90&amp;ba=HF201" Type="http://schemas.openxmlformats.org/officeDocument/2006/relationships/hyperlink" Id="rId13"/><Relationship TargetMode="External" Target="https://www.legis.iowa.gov/legislation/BillBook?ga=90&amp;ba=SF527" Type="http://schemas.openxmlformats.org/officeDocument/2006/relationships/hyperlink" Id="rId14"/><Relationship TargetMode="External" Target="https://www.legis.iowa.gov/legislation/BillBook?ga=90&amp;ba=HF206" Type="http://schemas.openxmlformats.org/officeDocument/2006/relationships/hyperlink" Id="rId15"/><Relationship TargetMode="External" Target="https://www.legis.iowa.gov/legislation/BillBook?ga=90&amp;ba=HF585" Type="http://schemas.openxmlformats.org/officeDocument/2006/relationships/hyperlink" Id="rId16"/><Relationship TargetMode="External" Target="https://www.legis.iowa.gov/legislation/BillBook?ga=90&amp;ba=SF11" Type="http://schemas.openxmlformats.org/officeDocument/2006/relationships/hyperlink" Id="rId17"/><Relationship TargetMode="External" Target="https://www.legis.iowa.gov/legislation/BillBook?ga=90&amp;ba=SF569" Type="http://schemas.openxmlformats.org/officeDocument/2006/relationships/hyperlink" Id="rId18"/><Relationship TargetMode="External" Target="https://www.legis.iowa.gov/legislation/BillBook?ga=90&amp;ba=HF385" Type="http://schemas.openxmlformats.org/officeDocument/2006/relationships/hyperlink" Id="rId19"/><Relationship TargetMode="External" Target="https://www.legis.iowa.gov/legislation/BillBook?ga=90&amp;ba=HF496" Type="http://schemas.openxmlformats.org/officeDocument/2006/relationships/hyperlink" Id="rId20"/><Relationship TargetMode="External" Target="https://www.legis.iowa.gov/legislation/BillBook?ga=90&amp;ba=HSB120" Type="http://schemas.openxmlformats.org/officeDocument/2006/relationships/hyperlink" Id="rId21"/><Relationship TargetMode="External" Target="https://www.legis.iowa.gov/legislation/BillBook?ga=90&amp;ba=HSB165" Type="http://schemas.openxmlformats.org/officeDocument/2006/relationships/hyperlink" Id="rId22"/><Relationship TargetMode="External" Target="https://www.legis.iowa.gov/legislation/BillBook?ga=90&amp;ba=SF11" Type="http://schemas.openxmlformats.org/officeDocument/2006/relationships/hyperlink" Id="rId23"/><Relationship TargetMode="External" Target="https://www.legis.iowa.gov/legislation/BillBook?ga=90&amp;ba=HF231" Type="http://schemas.openxmlformats.org/officeDocument/2006/relationships/hyperlink" Id="rId24"/><Relationship TargetMode="External" Target="https://www.legis.iowa.gov/legislation/BillBook?ga=90&amp;ba=SF356" Type="http://schemas.openxmlformats.org/officeDocument/2006/relationships/hyperlink" Id="rId25"/><Relationship TargetMode="External" Target="https://www.legis.iowa.gov/legislation/BillBook?ga=90&amp;ba=SF550" Type="http://schemas.openxmlformats.org/officeDocument/2006/relationships/hyperlink" Id="rId26"/><Relationship TargetMode="External" Target="https://www.legis.iowa.gov/legislation/BillBook?ga=90&amp;ba=SF551" Type="http://schemas.openxmlformats.org/officeDocument/2006/relationships/hyperlink" Id="rId27"/><Relationship TargetMode="External" Target="https://www.legis.iowa.gov/legislation/BillBook?ga=90&amp;ba=SF552" Type="http://schemas.openxmlformats.org/officeDocument/2006/relationships/hyperlink" Id="rId28"/><Relationship TargetMode="External" Target="https://www.legis.iowa.gov/legislation/BillBook?ga=90&amp;ba=SSB1056" Type="http://schemas.openxmlformats.org/officeDocument/2006/relationships/hyperlink" Id="rId29"/><Relationship TargetMode="External" Target="https://www.legis.iowa.gov/legislation/BillBook?ga=90&amp;ba=SSB1158" Type="http://schemas.openxmlformats.org/officeDocument/2006/relationships/hyperlink" Id="rId30"/></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