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660</w:t>
              </w:r>
            </w:hyperlink>
          </w:p>
          <w:p>
            <w:hyperlink r:id="rId8">
              <w:r>
                <w:rPr>
                  <w:rStyle w:val="Hyperlink"/>
                </w:rPr>
                <w:t xml:space="preserve">CO:HF 198</w:t>
              </w:r>
            </w:hyperlink>
          </w:p>
        </w:tc>
        <w:tc>
          <w:tcPr>
            <w:tcW w:w="3600" w:type="dxa"/>
            <w:noWrap w:val="false"/>
          </w:tcPr>
          <w:p>
            <w:r>
              <w:rPr>
                <w:sz w:val="20"/>
              </w:rPr>
              <w:t>A bill for an act relating to sales tax rebates for a raceway facility and making tax provision corrections. (Formerly HF 198.) Effective date: 07/01/2023.</w:t>
            </w:r>
          </w:p>
        </w:tc>
        <w:tc>
          <w:tcPr>
            <w:tcW w:w="4320" w:type="dxa"/>
            <w:noWrap w:val="false"/>
          </w:tcPr>
          <w:p>
            <w:r>
              <w:rPr>
                <w:sz w:val="20"/>
              </w:rPr>
              <w:t>Signed by Governor. (6/1/23)</w:t>
            </w:r>
            <w:br/>
            <w:r>
              <w:rPr>
                <w:sz w:val="20"/>
              </w:rPr>
              <w:t>Passed House, yeas 95, nays 2. (3/14/23)</w:t>
            </w:r>
            <w:br/>
            <w:r>
              <w:rPr>
                <w:sz w:val="20"/>
              </w:rPr>
              <w:t>Passed Senate, yeas 49, nays 0. (5/4/23)</w:t>
            </w:r>
            <w:br/>
            <w:r>
              <w:rPr>
                <w:sz w:val="20"/>
              </w:rPr>
              <w:t>Passed House, yeas 87, nays 2. (5/4/23)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9">
              <w:r>
                <w:rPr>
                  <w:rStyle w:val="Hyperlink"/>
                </w:rPr>
                <w:t xml:space="preserve">HF 660</w:t>
              </w:r>
            </w:hyperlink>
          </w:p>
          <w:p>
            <w:hyperlink r:id="rId10">
              <w:r>
                <w:rPr>
                  <w:rStyle w:val="Hyperlink"/>
                </w:rPr>
                <w:t xml:space="preserve">CO:HF 198</w:t>
              </w:r>
            </w:hyperlink>
          </w:p>
        </w:tc>
        <w:tc>
          <w:tcPr>
            <w:tcW w:w="3600" w:type="dxa"/>
            <w:noWrap w:val="false"/>
          </w:tcPr>
          <w:p>
            <w:r>
              <w:rPr>
                <w:sz w:val="20"/>
              </w:rPr>
              <w:t>A bill for an act relating to sales tax rebates for a raceway facility and making tax provision corrections. (Formerly HF 198.) Effective date: 07/01/2023.</w:t>
            </w:r>
          </w:p>
        </w:tc>
        <w:tc>
          <w:tcPr>
            <w:tcW w:w="4320" w:type="dxa"/>
            <w:noWrap w:val="false"/>
          </w:tcPr>
          <w:p>
            <w:r>
              <w:rPr>
                <w:sz w:val="20"/>
              </w:rPr>
              <w:t>Signed by Governor. (6/1/23)</w:t>
            </w:r>
            <w:br/>
            <w:r>
              <w:rPr>
                <w:sz w:val="20"/>
              </w:rPr>
              <w:t>Passed House, yeas 95, nays 2. (3/14/23)</w:t>
            </w:r>
            <w:br/>
            <w:r>
              <w:rPr>
                <w:sz w:val="20"/>
              </w:rPr>
              <w:t>Passed Senate, yeas 49, nays 0. (5/4/23)</w:t>
            </w:r>
            <w:br/>
            <w:r>
              <w:rPr>
                <w:sz w:val="20"/>
              </w:rPr>
              <w:t>Passed House, yeas 87, nays 2. (5/4/23)</w:t>
            </w:r>
          </w:p>
        </w:tc>
        <w:tc>
          <w:tcPr>
            <w:tcW w:w="4320" w:type="dxa"/>
            <w:noWrap w:val="false"/>
          </w:tcPr>
          <w:p>
            <w:pPr>
              <w:spacing w:before="0" w:after="0"/>
            </w:pPr>
            <w:r>
              <w:t>Support/For</w:t>
            </w:r>
          </w:p>
        </w:tc>
      </w:tr>
      <w:tr>
        <w:trPr>
          <w:cantSplit w:val="true"/>
        </w:trPr>
        <w:tc>
          <w:tcPr>
            <w:tcW w:w="2160" w:type="dxa"/>
            <w:noWrap w:val="false"/>
          </w:tcPr>
          <w:p>
            <w:hyperlink r:id="rId11">
              <w:r>
                <w:rPr>
                  <w:rStyle w:val="Hyperlink"/>
                </w:rPr>
                <w:t xml:space="preserve">SF 575</w:t>
              </w:r>
            </w:hyperlink>
          </w:p>
        </w:tc>
        <w:tc>
          <w:tcPr>
            <w:tcW w:w="3600" w:type="dxa"/>
            <w:noWrap w:val="false"/>
          </w:tcPr>
          <w:p>
            <w:r>
              <w:rPr>
                <w:sz w:val="20"/>
              </w:rPr>
              <w:t>A bill for an act relating to the economic development authority, including renewable chemical production, workforce housing, and innovation fund tax credits, the Iowa wine, beer, and spirits promotion board, and the beer and liquor control fund, and including applicability provisions. (Formerly SF 408, SSB 1087.) Effective date: 07/01/2023. Applicability date: 06/30/2023, 07/01/2023.</w:t>
            </w:r>
          </w:p>
        </w:tc>
        <w:tc>
          <w:tcPr>
            <w:tcW w:w="4320" w:type="dxa"/>
            <w:noWrap w:val="false"/>
          </w:tcPr>
          <w:p>
            <w:r>
              <w:rPr>
                <w:sz w:val="20"/>
              </w:rPr>
              <w:t>Signed by Governor. (6/1/23)</w:t>
            </w:r>
            <w:br/>
            <w:r>
              <w:rPr>
                <w:sz w:val="20"/>
              </w:rPr>
              <w:t>Passed Senate, yeas 47, nays 1. (4/27/23)</w:t>
            </w:r>
            <w:br/>
            <w:r>
              <w:rPr>
                <w:sz w:val="20"/>
              </w:rPr>
              <w:t>Passed House, yeas 94, nays 0. (5/1/23)</w:t>
            </w:r>
            <w:br/>
            <w:r>
              <w:rPr>
                <w:sz w:val="20"/>
              </w:rPr>
              <w:t>Passed Senate, yeas 47, nays 0. (5/3/23)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660" Type="http://schemas.openxmlformats.org/officeDocument/2006/relationships/hyperlink" Id="rId7"/><Relationship TargetMode="External" Target="https://www.legis.iowa.gov/legislation/BillBook?ga=90&amp;ba=HF198" Type="http://schemas.openxmlformats.org/officeDocument/2006/relationships/hyperlink" Id="rId8"/><Relationship TargetMode="External" Target="https://www.legis.iowa.gov/legislation/BillBook?ga=90&amp;ba=HF660" Type="http://schemas.openxmlformats.org/officeDocument/2006/relationships/hyperlink" Id="rId9"/><Relationship TargetMode="External" Target="https://www.legis.iowa.gov/legislation/BillBook?ga=90&amp;ba=HF198" Type="http://schemas.openxmlformats.org/officeDocument/2006/relationships/hyperlink" Id="rId10"/><Relationship TargetMode="External" Target="https://www.legis.iowa.gov/legislation/BillBook?ga=90&amp;ba=SF575" Type="http://schemas.openxmlformats.org/officeDocument/2006/relationships/hyperlink" Id="rId11"/></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