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package.relationships+xml" PartName="/word/_rels/header1.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jpeg" PartName="/word/media/image1.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Target="docProps/core.xml" Type="http://schemas.openxmlformats.org/package/2006/relationships/metadata/core-properties" Id="rId1"></Relationship><Relationship Target="docProps/app.xml" Type="http://schemas.openxmlformats.org/officeDocument/2006/relationships/extended-properties" Id="rId2"></Relationship><Relationship Target="docProps/custom.xml" Type="http://schemas.openxmlformats.org/officeDocument/2006/relationships/custom-properties" Id="rId3"></Relationship><Relationship Target="word/document.xml" Type="http://schemas.openxmlformats.org/officeDocument/2006/relationships/officeDocument" Id="rId4"></Relationship></Relationships>
</file>

<file path=word/document.xml><?xml version="1.0" encoding="utf-8"?>
<w:document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Style w:val="Body"/>
        <w:spacing w:before="0" w:after="0" w:line="240" w:lineRule="auto"/>
        <w:rPr/>
      </w:pPr>
      <w:r>
        <w:rPr/>
      </w:r>
    </w:p>
    <w:p>
      <w:pPr>
        <w:pStyle w:val="Body"/>
        <w:spacing w:before="0" w:after="0" w:line="240" w:lineRule="auto"/>
        <w:rPr/>
      </w:pPr>
      <w:r>
        <w:rPr/>
      </w:r>
    </w:p>
    <w:p>
      <w:pPr>
        <w:pStyle w:val="Body"/>
        <w:spacing w:before="0" w:after="0" w:line="240" w:lineRule="auto"/>
        <w:rPr/>
      </w:pPr>
      <w:r>
        <w:rPr/>
      </w:r>
    </w:p>
    <w:p>
      <w:r>
        <w:rPr>
          <w:sz w:val="24"/>
        </w:rPr>
        <w:t/>
      </w:r>
    </w:p>
    <w:p>
      <w:pPr>
        <w:spacing w:before="0" w:after="0"/>
      </w:pPr>
      <w:r>
        <w:rPr>
          <w:b w:val="true"/>
          <w:sz w:val="48"/>
          <w:u w:val="single"/>
        </w:rPr>
        <w:t>Priority Legislation</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7">
              <w:r>
                <w:rPr>
                  <w:rStyle w:val="Hyperlink"/>
                </w:rPr>
                <w:t xml:space="preserve">HF 243</w:t>
              </w:r>
            </w:hyperlink>
          </w:p>
        </w:tc>
        <w:tc>
          <w:tcPr>
            <w:tcW w:w="3600" w:type="dxa"/>
            <w:noWrap w:val="false"/>
          </w:tcPr>
          <w:p>
            <w:r>
              <w:rPr>
                <w:sz w:val="20"/>
              </w:rPr>
              <w:t>A bill for an act relating to insurance coverage for covered individuals for the treatment of autism spectrum disorder.(Formerly HSB 74.)</w:t>
            </w:r>
          </w:p>
        </w:tc>
        <w:tc>
          <w:tcPr>
            <w:tcW w:w="4320" w:type="dxa"/>
            <w:noWrap w:val="false"/>
          </w:tcPr>
          <w:p>
            <w:r>
              <w:rPr>
                <w:sz w:val="20"/>
              </w:rPr>
              <w:t>Subcommittee: Westrich, Petersen, and Schultz. (2/21/23)</w:t>
            </w:r>
            <w:br/>
            <w:r>
              <w:rPr>
                <w:sz w:val="20"/>
              </w:rPr>
              <w:t>Passed House, yeas 99, nays 0. (2/15/23)</w:t>
            </w:r>
          </w:p>
        </w:tc>
        <w:tc>
          <w:tcPr>
            <w:tcW w:w="4320" w:type="dxa"/>
            <w:noWrap w:val="false"/>
          </w:tcPr>
          <w:p>
            <w:pPr>
              <w:spacing w:before="0" w:after="0"/>
            </w:pPr>
            <w:r>
              <w:t>Monitor/Undecided</w:t>
            </w:r>
          </w:p>
        </w:tc>
      </w:tr>
      <w:tr>
        <w:trPr>
          <w:cantSplit w:val="true"/>
        </w:trPr>
        <w:tc>
          <w:tcPr>
            <w:tcW w:w="2160" w:type="dxa"/>
            <w:noWrap w:val="false"/>
          </w:tcPr>
          <w:p>
            <w:hyperlink r:id="rId8">
              <w:r>
                <w:rPr>
                  <w:rStyle w:val="Hyperlink"/>
                </w:rPr>
                <w:t xml:space="preserve">HF 273</w:t>
              </w:r>
            </w:hyperlink>
          </w:p>
          <w:p>
            <w:hyperlink r:id="rId9">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10">
              <w:r>
                <w:rPr>
                  <w:rStyle w:val="Hyperlink"/>
                </w:rPr>
                <w:t xml:space="preserve">SF 210</w:t>
              </w:r>
            </w:hyperlink>
          </w:p>
          <w:p>
            <w:hyperlink r:id="rId11">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
            </w:r>
          </w:p>
        </w:tc>
      </w:tr>
      <w:tr>
        <w:trPr>
          <w:cantSplit w:val="true"/>
        </w:trPr>
        <w:tc>
          <w:tcPr>
            <w:tcW w:w="2160" w:type="dxa"/>
            <w:noWrap w:val="false"/>
          </w:tcPr>
          <w:p>
            <w:hyperlink r:id="rId12">
              <w:r>
                <w:rPr>
                  <w:rStyle w:val="Hyperlink"/>
                </w:rPr>
                <w:t xml:space="preserve">SSB 1045</w:t>
              </w:r>
            </w:hyperlink>
          </w:p>
        </w:tc>
        <w:tc>
          <w:tcPr>
            <w:tcW w:w="3600" w:type="dxa"/>
            <w:noWrap w:val="false"/>
          </w:tcPr>
          <w:p>
            <w:r>
              <w:rPr>
                <w:sz w:val="20"/>
              </w:rPr>
              <w:t>A bill for an act relating to professionals who qualify as mental health professionals in certain circumstances.</w:t>
            </w:r>
          </w:p>
        </w:tc>
        <w:tc>
          <w:tcPr>
            <w:tcW w:w="4320" w:type="dxa"/>
            <w:noWrap w:val="false"/>
          </w:tcPr>
          <w:p>
            <w:r>
              <w:rPr>
                <w:sz w:val="20"/>
              </w:rPr>
              <w:t>Tabled until future meeting. []. (1/24/23)</w:t>
            </w:r>
          </w:p>
        </w:tc>
        <w:tc>
          <w:tcPr>
            <w:tcW w:w="4320" w:type="dxa"/>
            <w:noWrap w:val="false"/>
          </w:tcPr>
          <w:p>
            <w:pPr>
              <w:spacing w:before="0" w:after="0"/>
            </w:pPr>
            <w:r>
              <w:t>Support/For</w:t>
            </w:r>
          </w:p>
          <w:p>
            <w:pPr>
              <w:spacing w:before="0" w:after="0"/>
            </w:pPr>
            <w:r>
              <w:t>1/24: after the bill died in the subcommittee, we talked to the staff and the republican members of the cmte. They are finding it difficult to move the bill since the entire MH and medical community is opposed. They had an idea to find all the code sections that reference back to IA Code 228, there are 10 or so. The issue is not section 228, its the one that refer to code 228. Once we find out which ones apply and which ones don't, we can adjust the langauge and come another bill.  Expect this one to die and a new one to be introduced.  Know we are still working on the issue. </w:t>
            </w:r>
          </w:p>
          <w:p>
            <w:pPr>
              <w:spacing w:before="0" w:after="0"/>
            </w:pPr>
            <w:r>
              <w:t/>
            </w:r>
          </w:p>
        </w:tc>
      </w:tr>
    </w:tbl>
    <w:p>
      <w:r>
        <w:rPr>
          <w:sz w:val="24"/>
        </w:rPr>
        <w:t/>
      </w:r>
    </w:p>
    <w:p>
      <w:pPr>
        <w:spacing w:before="0" w:after="0"/>
      </w:pPr>
      <w:r>
        <w:rPr>
          <w:b w:val="true"/>
          <w:sz w:val="48"/>
          <w:u w:val="single"/>
        </w:rPr>
        <w:t>Signed by the Governor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13">
              <w:r>
                <w:rPr>
                  <w:rStyle w:val="Hyperlink"/>
                </w:rPr>
                <w:t xml:space="preserve">HF 174</w:t>
              </w:r>
            </w:hyperlink>
          </w:p>
        </w:tc>
        <w:tc>
          <w:tcPr>
            <w:tcW w:w="3600" w:type="dxa"/>
            <w:noWrap w:val="false"/>
          </w:tcPr>
          <w:p>
            <w:r>
              <w:rPr>
                <w:sz w:val="20"/>
              </w:rPr>
              <w:t>A bill for an act relating to the referral of a patient for diagnostic imaging by a physical therapist. (Formerly HSB 11.) Effective date: 07/01/2023.</w:t>
            </w:r>
          </w:p>
        </w:tc>
        <w:tc>
          <w:tcPr>
            <w:tcW w:w="4320" w:type="dxa"/>
            <w:noWrap w:val="false"/>
          </w:tcPr>
          <w:p>
            <w:r>
              <w:rPr>
                <w:sz w:val="20"/>
              </w:rPr>
              <w:t>Signed by Governor. (6/1/23)</w:t>
            </w:r>
            <w:br/>
            <w:r>
              <w:rPr>
                <w:sz w:val="20"/>
              </w:rPr>
              <w:t>Passed House, yeas 83, nays 14. (4/4/23)</w:t>
            </w:r>
            <w:br/>
            <w:r>
              <w:rPr>
                <w:sz w:val="20"/>
              </w:rPr>
              <w:t>Passed Senate, yeas 48, nays 2. (4/19/23)</w:t>
            </w:r>
          </w:p>
        </w:tc>
        <w:tc>
          <w:tcPr>
            <w:tcW w:w="4320" w:type="dxa"/>
            <w:noWrap w:val="false"/>
          </w:tcPr>
          <w:p>
            <w:pPr>
              <w:spacing w:before="0" w:after="0"/>
            </w:pPr>
            <w:r>
              <w:t/>
            </w:r>
          </w:p>
        </w:tc>
      </w:tr>
      <w:tr>
        <w:trPr>
          <w:cantSplit w:val="true"/>
        </w:trPr>
        <w:tc>
          <w:tcPr>
            <w:tcW w:w="2160" w:type="dxa"/>
            <w:noWrap w:val="false"/>
          </w:tcPr>
          <w:p>
            <w:hyperlink r:id="rId14">
              <w:r>
                <w:rPr>
                  <w:rStyle w:val="Hyperlink"/>
                </w:rPr>
                <w:t xml:space="preserve">HF 357</w:t>
              </w:r>
            </w:hyperlink>
          </w:p>
          <w:p>
            <w:hyperlink r:id="rId15">
              <w:r>
                <w:rPr>
                  <w:rStyle w:val="Hyperlink"/>
                </w:rPr>
                <w:t xml:space="preserve">CO:SF 327</w:t>
              </w:r>
            </w:hyperlink>
          </w:p>
        </w:tc>
        <w:tc>
          <w:tcPr>
            <w:tcW w:w="3600" w:type="dxa"/>
            <w:noWrap w:val="false"/>
          </w:tcPr>
          <w:p>
            <w:r>
              <w:rPr>
                <w:sz w:val="20"/>
              </w:rPr>
              <w:t>A bill for an act relating to health care employment agencies, health care employment agency workers, and health care entities, providing for the use of annual registration fees, and including retroactive applicability provisions. (Formerly HSB 24.) Effective date: 07/01/2023. Applicability date: 01/01/2019.</w:t>
            </w:r>
          </w:p>
        </w:tc>
        <w:tc>
          <w:tcPr>
            <w:tcW w:w="4320" w:type="dxa"/>
            <w:noWrap w:val="false"/>
          </w:tcPr>
          <w:p>
            <w:r>
              <w:rPr>
                <w:sz w:val="20"/>
              </w:rPr>
              <w:t>Signed by Governor. (6/1/23)</w:t>
            </w:r>
            <w:br/>
            <w:r>
              <w:rPr>
                <w:sz w:val="20"/>
              </w:rPr>
              <w:t>Passed House, yeas 94, nays 4. (3/7/23)</w:t>
            </w:r>
            <w:br/>
            <w:r>
              <w:rPr>
                <w:sz w:val="20"/>
              </w:rPr>
              <w:t>Passed Senate, yeas 49, nays 0. (4/24/23)</w:t>
            </w:r>
          </w:p>
        </w:tc>
        <w:tc>
          <w:tcPr>
            <w:tcW w:w="4320" w:type="dxa"/>
            <w:noWrap w:val="false"/>
          </w:tcPr>
          <w:p>
            <w:pPr>
              <w:spacing w:before="0" w:after="0"/>
            </w:pPr>
            <w:r>
              <w:t/>
            </w:r>
          </w:p>
        </w:tc>
      </w:tr>
      <w:tr>
        <w:trPr>
          <w:cantSplit w:val="true"/>
        </w:trPr>
        <w:tc>
          <w:tcPr>
            <w:tcW w:w="2160" w:type="dxa"/>
            <w:noWrap w:val="false"/>
          </w:tcPr>
          <w:p>
            <w:hyperlink r:id="rId16">
              <w:r>
                <w:rPr>
                  <w:rStyle w:val="Hyperlink"/>
                </w:rPr>
                <w:t xml:space="preserve">SF 514</w:t>
              </w:r>
            </w:hyperlink>
          </w:p>
        </w:tc>
        <w:tc>
          <w:tcPr>
            <w:tcW w:w="3600" w:type="dxa"/>
            <w:noWrap w:val="false"/>
          </w:tcPr>
          <w:p>
            <w:r>
              <w:rPr>
                <w:sz w:val="20"/>
              </w:rPr>
              <w:t>A bill for an act relating to the organization, structure, and functions of state government, providing for salaries of appointed state officers, providing for penalties, making appropriations, providing Code editor directives and transition provisions, and including applicability and effective date provisions. (Formerly SSB 1123.) Contingent effective date. Applicability date: Enactment, 07/01/2023.</w:t>
            </w:r>
          </w:p>
        </w:tc>
        <w:tc>
          <w:tcPr>
            <w:tcW w:w="4320" w:type="dxa"/>
            <w:noWrap w:val="false"/>
          </w:tcPr>
          <w:p>
            <w:r>
              <w:rPr>
                <w:sz w:val="20"/>
              </w:rPr>
              <w:t>Fiscal note. (5/16/23)</w:t>
            </w:r>
            <w:br/>
            <w:r>
              <w:rPr>
                <w:sz w:val="20"/>
              </w:rPr>
              <w:t>Passed Senate, yeas 34, nays 15. (3/7/23)</w:t>
            </w:r>
            <w:br/>
            <w:r>
              <w:rPr>
                <w:sz w:val="20"/>
              </w:rPr>
              <w:t>Passed House, yeas 58, nays 39. (3/15/23)</w:t>
            </w:r>
          </w:p>
        </w:tc>
        <w:tc>
          <w:tcPr>
            <w:tcW w:w="4320" w:type="dxa"/>
            <w:noWrap w:val="false"/>
          </w:tcPr>
          <w:p>
            <w:pPr>
              <w:spacing w:before="0" w:after="0"/>
            </w:pPr>
            <w:r>
              <w:t/>
            </w:r>
          </w:p>
        </w:tc>
      </w:tr>
      <w:tr>
        <w:trPr>
          <w:cantSplit w:val="true"/>
        </w:trPr>
        <w:tc>
          <w:tcPr>
            <w:tcW w:w="2160" w:type="dxa"/>
            <w:noWrap w:val="false"/>
          </w:tcPr>
          <w:p>
            <w:hyperlink r:id="rId17">
              <w:r>
                <w:rPr>
                  <w:rStyle w:val="Hyperlink"/>
                </w:rPr>
                <w:t xml:space="preserve">SF 557</w:t>
              </w:r>
            </w:hyperlink>
          </w:p>
        </w:tc>
        <w:tc>
          <w:tcPr>
            <w:tcW w:w="3600" w:type="dxa"/>
            <w:noWrap w:val="false"/>
          </w:tcPr>
          <w:p>
            <w:r>
              <w:rPr>
                <w:sz w:val="20"/>
              </w:rPr>
              <w:t>A bill for an act relating to and making appropriations for state government administration and regulation, including the department of administrative services, auditor of state, ethics and campaign disclosure board, offices of governor and lieutenant governor, department of inspections, appeals, and licensing, department of insurance and financial services, department of management, Iowa public employees' retirement system, public information board, department of revenue, secretary of state, treasurer of state, and Iowa utilities board, creating a licensing and regulation fund, and modifying provisions related to major procurement contracts for the Iowa lottery division of the department of revenue. (Formerly SSB 1209.) Effective date: 07/01/2023.</w:t>
            </w:r>
          </w:p>
        </w:tc>
        <w:tc>
          <w:tcPr>
            <w:tcW w:w="4320" w:type="dxa"/>
            <w:noWrap w:val="false"/>
          </w:tcPr>
          <w:p>
            <w:r>
              <w:rPr>
                <w:sz w:val="20"/>
              </w:rPr>
              <w:t>Signed by Governor. (6/1/23)</w:t>
            </w:r>
            <w:br/>
            <w:r>
              <w:rPr>
                <w:sz w:val="20"/>
              </w:rPr>
              <w:t>Passed Senate, yeas 33, nays 16. (4/26/23)</w:t>
            </w:r>
            <w:br/>
            <w:r>
              <w:rPr>
                <w:sz w:val="20"/>
              </w:rPr>
              <w:t>Passed House, yeas 60, nays 35. (5/2/23)</w:t>
            </w:r>
          </w:p>
        </w:tc>
        <w:tc>
          <w:tcPr>
            <w:tcW w:w="4320" w:type="dxa"/>
            <w:noWrap w:val="false"/>
          </w:tcPr>
          <w:p>
            <w:pPr>
              <w:spacing w:before="0" w:after="0"/>
            </w:pPr>
            <w:r>
              <w:t/>
            </w:r>
          </w:p>
        </w:tc>
      </w:tr>
      <w:tr>
        <w:trPr>
          <w:cantSplit w:val="true"/>
        </w:trPr>
        <w:tc>
          <w:tcPr>
            <w:tcW w:w="2160" w:type="dxa"/>
            <w:noWrap w:val="false"/>
          </w:tcPr>
          <w:p>
            <w:hyperlink r:id="rId18">
              <w:r>
                <w:rPr>
                  <w:rStyle w:val="Hyperlink"/>
                </w:rPr>
                <w:t xml:space="preserve">SF 560</w:t>
              </w:r>
            </w:hyperlink>
          </w:p>
        </w:tc>
        <w:tc>
          <w:tcPr>
            <w:tcW w:w="3600" w:type="dxa"/>
            <w:noWrap w:val="false"/>
          </w:tcPr>
          <w:p>
            <w:r>
              <w:rPr>
                <w:sz w:val="20"/>
              </w:rPr>
              <w:t>A bill for an act relating to and making appropriations to the education system, including the funding and operation of the department for the blind, the department of education, and the state board of regents; requiring the state board of regents to conduct a study and prepare a report related to diversity, equity, and inclusion programs and efforts; providing for responsibilities of the workforce development board; establishing the Iowa workforce grant and incentive program; requiring the department of education to convene a task force to study issues related to programs for at-risk students and dropout prevention programs; modifying provisions related to the future ready Iowa skilled workforce grant program, the all Iowa opportunity scholarship program, the education savings account program, the gap tuition assistance program, the Iowa educational services for the blind and visually impaired program, career and technical education programs, the fine arts beginning teacher mentoring program, the equipment replacement and program-sharing property tax levy, and the posting of education-related job openings; and including effective date, applicability, and retroactive applicability provisions. (Formerly SSB 1212.) Effective date: 06/01/2023, 07/01/2023. Applicability date: 01/24/2023, 07/01/2023.</w:t>
            </w:r>
          </w:p>
        </w:tc>
        <w:tc>
          <w:tcPr>
            <w:tcW w:w="4320" w:type="dxa"/>
            <w:noWrap w:val="false"/>
          </w:tcPr>
          <w:p>
            <w:r>
              <w:rPr>
                <w:sz w:val="20"/>
              </w:rPr>
              <w:t>Signed by Governor. (6/1/23)</w:t>
            </w:r>
            <w:br/>
            <w:r>
              <w:rPr>
                <w:sz w:val="20"/>
              </w:rPr>
              <w:t>Passed Senate, yeas 32, nays 16. (5/3/23)</w:t>
            </w:r>
            <w:br/>
            <w:r>
              <w:rPr>
                <w:sz w:val="20"/>
              </w:rPr>
              <w:t>Passed House, yeas 59, nays 33. (5/3/23)</w:t>
            </w:r>
          </w:p>
        </w:tc>
        <w:tc>
          <w:tcPr>
            <w:tcW w:w="4320" w:type="dxa"/>
            <w:noWrap w:val="false"/>
          </w:tcPr>
          <w:p>
            <w:pPr>
              <w:spacing w:before="0" w:after="0"/>
            </w:pPr>
            <w:r>
              <w:t/>
            </w:r>
          </w:p>
        </w:tc>
      </w:tr>
      <w:tr>
        <w:trPr>
          <w:cantSplit w:val="true"/>
        </w:trPr>
        <w:tc>
          <w:tcPr>
            <w:tcW w:w="2160" w:type="dxa"/>
            <w:noWrap w:val="false"/>
          </w:tcPr>
          <w:p>
            <w:hyperlink r:id="rId19">
              <w:r>
                <w:rPr>
                  <w:rStyle w:val="Hyperlink"/>
                </w:rPr>
                <w:t xml:space="preserve">SF 561</w:t>
              </w:r>
            </w:hyperlink>
          </w:p>
        </w:tc>
        <w:tc>
          <w:tcPr>
            <w:tcW w:w="3600" w:type="dxa"/>
            <w:noWrap w:val="false"/>
          </w:tcPr>
          <w:p>
            <w:r>
              <w:rPr>
                <w:sz w:val="20"/>
              </w:rPr>
              <w:t>A bill for an act relating to appropriations for veterans and health and human services and including other related provisions and appropriations including health policy oversight, public assistance program provisions and a public assistance modernization fund, sprinkler systems for home and community-based services waiver recipient residences, a state-funded family medicine obstetrics fellowship program and fund, adoption subsidy program nonrecurring adoption expenses, real estate transactions involving departmental institutions, providing penalties, and including effective date and other applicability date provisions. (Formerly SSB 1213.) Effective date: 06/01/2023, 07/01/2023.</w:t>
            </w:r>
          </w:p>
        </w:tc>
        <w:tc>
          <w:tcPr>
            <w:tcW w:w="4320" w:type="dxa"/>
            <w:noWrap w:val="false"/>
          </w:tcPr>
          <w:p>
            <w:r>
              <w:rPr>
                <w:sz w:val="20"/>
              </w:rPr>
              <w:t>Signed by Governor. (6/1/23)</w:t>
            </w:r>
            <w:br/>
            <w:r>
              <w:rPr>
                <w:sz w:val="20"/>
              </w:rPr>
              <w:t>Passed Senate, yeas 32, nays 16. (4/27/23)</w:t>
            </w:r>
            <w:br/>
            <w:r>
              <w:rPr>
                <w:sz w:val="20"/>
              </w:rPr>
              <w:t>Passed House, yeas 63, nays 32. (5/2/23)</w:t>
            </w:r>
            <w:br/>
            <w:r>
              <w:rPr>
                <w:sz w:val="20"/>
              </w:rPr>
              <w:t>Passed Senate, yeas 32, nays 16. (5/3/23)</w:t>
            </w:r>
          </w:p>
        </w:tc>
        <w:tc>
          <w:tcPr>
            <w:tcW w:w="4320" w:type="dxa"/>
            <w:noWrap w:val="false"/>
          </w:tcPr>
          <w:p>
            <w:pPr>
              <w:spacing w:before="0" w:after="0"/>
            </w:pPr>
            <w:r>
              <w:t/>
            </w:r>
          </w:p>
        </w:tc>
      </w:tr>
    </w:tbl>
    <w:p>
      <w:r>
        <w:rPr>
          <w:sz w:val="24"/>
        </w:rPr>
        <w:t/>
      </w:r>
    </w:p>
    <w:p>
      <w:pPr>
        <w:spacing w:before="0" w:after="0"/>
      </w:pPr>
      <w:r>
        <w:rPr>
          <w:b w:val="true"/>
          <w:sz w:val="48"/>
          <w:u w:val="single"/>
        </w:rPr>
        <w:t>Passed One Chamber</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0">
              <w:r>
                <w:rPr>
                  <w:rStyle w:val="Hyperlink"/>
                </w:rPr>
                <w:t xml:space="preserve">HF 243</w:t>
              </w:r>
            </w:hyperlink>
          </w:p>
        </w:tc>
        <w:tc>
          <w:tcPr>
            <w:tcW w:w="3600" w:type="dxa"/>
            <w:noWrap w:val="false"/>
          </w:tcPr>
          <w:p>
            <w:r>
              <w:rPr>
                <w:sz w:val="20"/>
              </w:rPr>
              <w:t>A bill for an act relating to insurance coverage for covered individuals for the treatment of autism spectrum disorder.(Formerly HSB 74.)</w:t>
            </w:r>
          </w:p>
        </w:tc>
        <w:tc>
          <w:tcPr>
            <w:tcW w:w="4320" w:type="dxa"/>
            <w:noWrap w:val="false"/>
          </w:tcPr>
          <w:p>
            <w:r>
              <w:rPr>
                <w:sz w:val="20"/>
              </w:rPr>
              <w:t>Subcommittee: Westrich, Petersen, and Schultz. (2/21/23)</w:t>
            </w:r>
          </w:p>
        </w:tc>
        <w:tc>
          <w:tcPr>
            <w:tcW w:w="4320" w:type="dxa"/>
            <w:noWrap w:val="false"/>
          </w:tcPr>
          <w:p>
            <w:pPr>
              <w:spacing w:before="0" w:after="0"/>
            </w:pPr>
            <w:r>
              <w:t>Monitor/Undecided</w:t>
            </w:r>
          </w:p>
        </w:tc>
      </w:tr>
      <w:tr>
        <w:trPr>
          <w:cantSplit w:val="true"/>
        </w:trPr>
        <w:tc>
          <w:tcPr>
            <w:tcW w:w="2160" w:type="dxa"/>
            <w:noWrap w:val="false"/>
          </w:tcPr>
          <w:p>
            <w:hyperlink r:id="rId21">
              <w:r>
                <w:rPr>
                  <w:rStyle w:val="Hyperlink"/>
                </w:rPr>
                <w:t xml:space="preserve">HF 610</w:t>
              </w:r>
            </w:hyperlink>
          </w:p>
          <w:p>
            <w:hyperlink r:id="rId22">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district.(Formerly HF 285.)</w:t>
            </w:r>
          </w:p>
        </w:tc>
        <w:tc>
          <w:tcPr>
            <w:tcW w:w="4320" w:type="dxa"/>
            <w:noWrap w:val="false"/>
          </w:tcPr>
          <w:p>
            <w:r>
              <w:rPr>
                <w:sz w:val="20"/>
              </w:rPr>
              <w:t>Subcommittee recommends passage. []. (3/22/23)</w:t>
            </w:r>
          </w:p>
        </w:tc>
        <w:tc>
          <w:tcPr>
            <w:tcW w:w="4320" w:type="dxa"/>
            <w:noWrap w:val="false"/>
          </w:tcPr>
          <w:p>
            <w:pPr>
              <w:spacing w:before="0" w:after="0"/>
            </w:pPr>
            <w:r>
              <w:t/>
            </w:r>
          </w:p>
          <w:p>
            <w:pPr>
              <w:spacing w:before="0" w:after="0"/>
            </w:pPr>
            <w:r>
              <w:t>The bill advanced from the Senate subcommittee to keep the conversation alive. Advocates for the bill have doubts about the bill's support in the full Senate Education Committee.</w:t>
            </w:r>
          </w:p>
          <w:p>
            <w:pPr>
              <w:spacing w:before="0" w:after="0"/>
            </w:pPr>
            <w:r>
              <w:t/>
            </w:r>
          </w:p>
        </w:tc>
      </w:tr>
    </w:tbl>
    <w:p>
      <w:r>
        <w:rPr>
          <w:sz w:val="24"/>
        </w:rPr>
        <w:t/>
      </w:r>
    </w:p>
    <w:p>
      <w:pPr>
        <w:spacing w:before="0" w:after="0"/>
      </w:pPr>
      <w:r>
        <w:rPr>
          <w:b w:val="true"/>
          <w:sz w:val="48"/>
          <w:u w:val="single"/>
        </w:rPr>
        <w:t>Did Not Advance</w:t>
      </w:r>
    </w:p>
    <w:p>
      <w:r>
        <w:rPr>
          <w:sz w:val="48"/>
        </w:rPr>
        <w:t/>
      </w:r>
    </w:p>
    <w:tbl>
      <w:tblPr>
        <w:tblStyle w:val="TableGrid"/>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2160"/>
        <w:gridCol w:w="3600"/>
        <w:gridCol w:w="4320"/>
        <w:gridCol w:w="4320"/>
      </w:tblGrid>
      <w:tr>
        <w:trPr>
          <w:tblHeader w:val="true"/>
          <w:cantSplit w:val="true"/>
        </w:trPr>
        <w:tc>
          <w:tcPr>
            <w:tcW w:w="2160" w:type="dxa"/>
            <w:shd w:val="clear" w:color="auto" w:fill="8EB4E0"/>
          </w:tcPr>
          <w:p>
            <w:pPr>
              <w:jc w:val="left"/>
            </w:pPr>
            <w:r>
              <w:rPr>
                <w:b w:val="true"/>
                <w:sz w:val="22"/>
              </w:rPr>
              <w:t>BILL</w:t>
            </w:r>
          </w:p>
        </w:tc>
        <w:tc>
          <w:tcPr>
            <w:tcW w:type="right"/>
            <w:shd w:val="clear" w:color="auto" w:fill="8EB4E0"/>
          </w:tcPr>
          <w:p>
            <w:pPr>
              <w:jc w:val="left"/>
            </w:pPr>
            <w:r>
              <w:rPr>
                <w:b w:val="true"/>
                <w:sz w:val="22"/>
              </w:rPr>
              <w:t>DESCRIPTION</w:t>
            </w:r>
          </w:p>
        </w:tc>
        <w:tc>
          <w:tcPr>
            <w:tcW w:type="right"/>
            <w:shd w:val="clear" w:color="auto" w:fill="8EB4E0"/>
          </w:tcPr>
          <w:p>
            <w:pPr>
              <w:jc w:val="left"/>
            </w:pPr>
            <w:r>
              <w:rPr>
                <w:b w:val="true"/>
                <w:sz w:val="22"/>
              </w:rPr>
              <w:t>STATUS</w:t>
            </w:r>
          </w:p>
        </w:tc>
        <w:tc>
          <w:tcPr>
            <w:tcW w:type="right"/>
            <w:shd w:val="clear" w:color="auto" w:fill="8EB4E0"/>
          </w:tcPr>
          <w:p>
            <w:pPr>
              <w:jc w:val="left"/>
            </w:pPr>
            <w:r>
              <w:rPr>
                <w:b w:val="true"/>
                <w:sz w:val="22"/>
              </w:rPr>
              <w:t>NOTE</w:t>
            </w:r>
          </w:p>
        </w:tc>
      </w:tr>
      <w:tr>
        <w:trPr>
          <w:cantSplit w:val="true"/>
        </w:trPr>
        <w:tc>
          <w:tcPr>
            <w:tcW w:w="2160" w:type="dxa"/>
            <w:noWrap w:val="false"/>
          </w:tcPr>
          <w:p>
            <w:hyperlink r:id="rId23">
              <w:r>
                <w:rPr>
                  <w:rStyle w:val="Hyperlink"/>
                </w:rPr>
                <w:t xml:space="preserve">HF 273</w:t>
              </w:r>
            </w:hyperlink>
          </w:p>
          <w:p>
            <w:hyperlink r:id="rId24">
              <w:r>
                <w:rPr>
                  <w:rStyle w:val="Hyperlink"/>
                </w:rPr>
                <w:t xml:space="preserve">CO:SF 210</w:t>
              </w:r>
            </w:hyperlink>
          </w:p>
        </w:tc>
        <w:tc>
          <w:tcPr>
            <w:tcW w:w="3600" w:type="dxa"/>
            <w:noWrap w:val="false"/>
          </w:tcPr>
          <w:p>
            <w:r>
              <w:rPr>
                <w:sz w:val="20"/>
              </w:rPr>
              <w:t>A bill for an act relating to the term brain health.(Formerly HSB 76.)</w:t>
            </w:r>
          </w:p>
        </w:tc>
        <w:tc>
          <w:tcPr>
            <w:tcW w:w="4320" w:type="dxa"/>
            <w:noWrap w:val="false"/>
          </w:tcPr>
          <w:p>
            <w:r>
              <w:rPr>
                <w:sz w:val="20"/>
              </w:rPr>
              <w:t>Rereferred to Health and Human Services. (5/4/23)</w:t>
            </w:r>
          </w:p>
        </w:tc>
        <w:tc>
          <w:tcPr>
            <w:tcW w:w="4320" w:type="dxa"/>
            <w:noWrap w:val="false"/>
          </w:tcPr>
          <w:p>
            <w:pPr>
              <w:spacing w:before="0" w:after="0"/>
            </w:pPr>
            <w:r>
              <w:t/>
            </w:r>
          </w:p>
        </w:tc>
      </w:tr>
      <w:tr>
        <w:trPr>
          <w:cantSplit w:val="true"/>
        </w:trPr>
        <w:tc>
          <w:tcPr>
            <w:tcW w:w="2160" w:type="dxa"/>
            <w:noWrap w:val="false"/>
          </w:tcPr>
          <w:p>
            <w:hyperlink r:id="rId25">
              <w:r>
                <w:rPr>
                  <w:rStyle w:val="Hyperlink"/>
                </w:rPr>
                <w:t xml:space="preserve">HF 562</w:t>
              </w:r>
            </w:hyperlink>
          </w:p>
        </w:tc>
        <w:tc>
          <w:tcPr>
            <w:tcW w:w="3600" w:type="dxa"/>
            <w:noWrap w:val="false"/>
          </w:tcPr>
          <w:p>
            <w:r>
              <w:rPr>
                <w:sz w:val="20"/>
              </w:rPr>
              <w:t>A bill for an act relating to insurance coverage for the maintenance and repair of complex rehabilitation technology wheelchairs.</w:t>
            </w:r>
          </w:p>
        </w:tc>
        <w:tc>
          <w:tcPr>
            <w:tcW w:w="4320" w:type="dxa"/>
            <w:noWrap w:val="false"/>
          </w:tcPr>
          <w:p>
            <w:r>
              <w:rPr>
                <w:sz w:val="20"/>
              </w:rPr>
              <w:t>Introduced, referred to Commerce. (3/2/23)</w:t>
            </w:r>
          </w:p>
        </w:tc>
        <w:tc>
          <w:tcPr>
            <w:tcW w:w="4320" w:type="dxa"/>
            <w:noWrap w:val="false"/>
          </w:tcPr>
          <w:p>
            <w:pPr>
              <w:spacing w:before="0" w:after="0"/>
            </w:pPr>
            <w:r>
              <w:t/>
            </w:r>
          </w:p>
        </w:tc>
      </w:tr>
      <w:tr>
        <w:trPr>
          <w:cantSplit w:val="true"/>
        </w:trPr>
        <w:tc>
          <w:tcPr>
            <w:tcW w:w="2160" w:type="dxa"/>
            <w:noWrap w:val="false"/>
          </w:tcPr>
          <w:p>
            <w:hyperlink r:id="rId26">
              <w:r>
                <w:rPr>
                  <w:rStyle w:val="Hyperlink"/>
                </w:rPr>
                <w:t xml:space="preserve">HR 9</w:t>
              </w:r>
            </w:hyperlink>
          </w:p>
        </w:tc>
        <w:tc>
          <w:tcPr>
            <w:tcW w:w="3600" w:type="dxa"/>
            <w:noWrap w:val="false"/>
          </w:tcPr>
          <w:p>
            <w:r>
              <w:rPr>
                <w:sz w:val="20"/>
              </w:rPr>
              <w:t>A resolution designating the month of March as Disabilities Awareness Month in Iowa.</w:t>
            </w:r>
          </w:p>
        </w:tc>
        <w:tc>
          <w:tcPr>
            <w:tcW w:w="4320" w:type="dxa"/>
            <w:noWrap w:val="false"/>
          </w:tcPr>
          <w:p>
            <w:r>
              <w:rPr>
                <w:sz w:val="20"/>
              </w:rPr>
              <w:t>Resolution adopted. (3/9/23)</w:t>
            </w:r>
          </w:p>
        </w:tc>
        <w:tc>
          <w:tcPr>
            <w:tcW w:w="4320" w:type="dxa"/>
            <w:noWrap w:val="false"/>
          </w:tcPr>
          <w:p>
            <w:pPr>
              <w:spacing w:before="0" w:after="0"/>
            </w:pPr>
            <w:r>
              <w:t/>
            </w:r>
          </w:p>
        </w:tc>
      </w:tr>
      <w:tr>
        <w:trPr>
          <w:cantSplit w:val="true"/>
        </w:trPr>
        <w:tc>
          <w:tcPr>
            <w:tcW w:w="2160" w:type="dxa"/>
            <w:noWrap w:val="false"/>
          </w:tcPr>
          <w:p>
            <w:hyperlink r:id="rId27">
              <w:r>
                <w:rPr>
                  <w:rStyle w:val="Hyperlink"/>
                </w:rPr>
                <w:t xml:space="preserve">HSB 130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recommends passage. Vote Total: 2-1. (2/7/23)</w:t>
            </w:r>
          </w:p>
        </w:tc>
        <w:tc>
          <w:tcPr>
            <w:tcW w:w="4320" w:type="dxa"/>
            <w:noWrap w:val="false"/>
          </w:tcPr>
          <w:p>
            <w:pPr>
              <w:spacing w:before="0" w:after="0"/>
            </w:pPr>
            <w:r>
              <w:t/>
            </w:r>
          </w:p>
          <w:p>
            <w:pPr>
              <w:spacing w:before="0" w:after="0"/>
            </w:pPr>
            <w:r>
              <w:t>Despite many arguments from the insurance industry hoping to dissuade lawmakers, subcommittee members advanced the bill. Those opposed to the legislation stated prior authorization is just as burdensome to insurers as it is for physicians, and prior auth is a necessary tool to ensure patients aren't receiving unnecessary, duplicative services. </w:t>
            </w:r>
          </w:p>
          <w:p>
            <w:pPr>
              <w:spacing w:before="0" w:after="0"/>
            </w:pPr>
            <w:r>
              <w:t/>
            </w:r>
          </w:p>
        </w:tc>
      </w:tr>
      <w:tr>
        <w:trPr>
          <w:cantSplit w:val="true"/>
        </w:trPr>
        <w:tc>
          <w:tcPr>
            <w:tcW w:w="2160" w:type="dxa"/>
            <w:noWrap w:val="false"/>
          </w:tcPr>
          <w:p>
            <w:hyperlink r:id="rId28">
              <w:r>
                <w:rPr>
                  <w:rStyle w:val="Hyperlink"/>
                </w:rPr>
                <w:t xml:space="preserve">SF 5</w:t>
              </w:r>
            </w:hyperlink>
          </w:p>
        </w:tc>
        <w:tc>
          <w:tcPr>
            <w:tcW w:w="3600" w:type="dxa"/>
            <w:noWrap w:val="false"/>
          </w:tcPr>
          <w:p>
            <w:r>
              <w:rPr>
                <w:sz w:val="20"/>
              </w:rPr>
              <w:t>A bill for an act relating to health care employment agency reporting requirements.</w:t>
            </w:r>
          </w:p>
        </w:tc>
        <w:tc>
          <w:tcPr>
            <w:tcW w:w="4320" w:type="dxa"/>
            <w:noWrap w:val="false"/>
          </w:tcPr>
          <w:p>
            <w:r>
              <w:rPr>
                <w:sz w:val="20"/>
              </w:rPr>
              <w:t>Introduced, referred to Health and Human Services. (1/9/23)</w:t>
            </w:r>
          </w:p>
        </w:tc>
        <w:tc>
          <w:tcPr>
            <w:tcW w:w="4320" w:type="dxa"/>
            <w:noWrap w:val="false"/>
          </w:tcPr>
          <w:p>
            <w:pPr>
              <w:spacing w:before="0" w:after="0"/>
            </w:pPr>
            <w:r>
              <w:t/>
            </w:r>
          </w:p>
        </w:tc>
      </w:tr>
      <w:tr>
        <w:trPr>
          <w:cantSplit w:val="true"/>
        </w:trPr>
        <w:tc>
          <w:tcPr>
            <w:tcW w:w="2160" w:type="dxa"/>
            <w:noWrap w:val="false"/>
          </w:tcPr>
          <w:p>
            <w:hyperlink r:id="rId29">
              <w:r>
                <w:rPr>
                  <w:rStyle w:val="Hyperlink"/>
                </w:rPr>
                <w:t xml:space="preserve">SF 136</w:t>
              </w:r>
            </w:hyperlink>
          </w:p>
        </w:tc>
        <w:tc>
          <w:tcPr>
            <w:tcW w:w="3600" w:type="dxa"/>
            <w:noWrap w:val="false"/>
          </w:tcPr>
          <w:p>
            <w:r>
              <w:rPr>
                <w:sz w:val="20"/>
              </w:rPr>
              <w:t>A bill for an act repealing gender balance requirements for appointive boards, commissions, committees, and councils.(Formerly SSB 1037.)</w:t>
            </w:r>
          </w:p>
        </w:tc>
        <w:tc>
          <w:tcPr>
            <w:tcW w:w="4320" w:type="dxa"/>
            <w:noWrap w:val="false"/>
          </w:tcPr>
          <w:p>
            <w:r>
              <w:rPr>
                <w:sz w:val="20"/>
              </w:rPr>
              <w:t>Referred to State Government. (6/5/23)</w:t>
            </w:r>
          </w:p>
        </w:tc>
        <w:tc>
          <w:tcPr>
            <w:tcW w:w="4320" w:type="dxa"/>
            <w:noWrap w:val="false"/>
          </w:tcPr>
          <w:p>
            <w:pPr>
              <w:spacing w:before="0" w:after="0"/>
            </w:pPr>
            <w:r>
              <w:t/>
            </w:r>
          </w:p>
        </w:tc>
      </w:tr>
      <w:tr>
        <w:trPr>
          <w:cantSplit w:val="true"/>
        </w:trPr>
        <w:tc>
          <w:tcPr>
            <w:tcW w:w="2160" w:type="dxa"/>
            <w:noWrap w:val="false"/>
          </w:tcPr>
          <w:p>
            <w:hyperlink r:id="rId30">
              <w:r>
                <w:rPr>
                  <w:rStyle w:val="Hyperlink"/>
                </w:rPr>
                <w:t xml:space="preserve">SF 172</w:t>
              </w:r>
            </w:hyperlink>
          </w:p>
        </w:tc>
        <w:tc>
          <w:tcPr>
            <w:tcW w:w="3600" w:type="dxa"/>
            <w:noWrap w:val="false"/>
          </w:tcPr>
          <w:p>
            <w:r>
              <w:rPr>
                <w:sz w:val="20"/>
              </w:rPr>
              <w:t>A bill for an act relating to a pilot program to allow Medicaid members to participate in direct health care agreements.</w:t>
            </w:r>
          </w:p>
        </w:tc>
        <w:tc>
          <w:tcPr>
            <w:tcW w:w="4320" w:type="dxa"/>
            <w:noWrap w:val="false"/>
          </w:tcPr>
          <w:p>
            <w:r>
              <w:rPr>
                <w:sz w:val="20"/>
              </w:rPr>
              <w:t>Subcommittee recommends passage. []. (2/20/23)</w:t>
            </w:r>
          </w:p>
        </w:tc>
        <w:tc>
          <w:tcPr>
            <w:tcW w:w="4320" w:type="dxa"/>
            <w:noWrap w:val="false"/>
          </w:tcPr>
          <w:p>
            <w:pPr>
              <w:spacing w:before="0" w:after="0"/>
            </w:pPr>
            <w:r>
              <w:t/>
            </w:r>
          </w:p>
          <w:p>
            <w:pPr>
              <w:spacing w:before="0" w:after="0"/>
            </w:pPr>
            <w:r>
              <w:t>Sens. Garrett and Costello are very interested in how to make this bill work and suggested amending the bill to try out with state employees. Sen. Trone-Garriott had many questions and at the end of the meeting suggested a “study” model instead and declined to sign onto the bill. AmeriGroup and Iowa Total Care spoke against the bill and said this pilot program would likely confuse Medicaid members more than anything especially since many are up for re-enrollment soon. They also said this would also hinder coordinated care across providers.</w:t>
            </w:r>
          </w:p>
          <w:p>
            <w:pPr>
              <w:spacing w:before="0" w:after="0"/>
            </w:pPr>
            <w:r>
              <w:t/>
            </w:r>
          </w:p>
        </w:tc>
      </w:tr>
      <w:tr>
        <w:trPr>
          <w:cantSplit w:val="true"/>
        </w:trPr>
        <w:tc>
          <w:tcPr>
            <w:tcW w:w="2160" w:type="dxa"/>
            <w:noWrap w:val="false"/>
          </w:tcPr>
          <w:p>
            <w:hyperlink r:id="rId31">
              <w:r>
                <w:rPr>
                  <w:rStyle w:val="Hyperlink"/>
                </w:rPr>
                <w:t xml:space="preserve">SF 210</w:t>
              </w:r>
            </w:hyperlink>
          </w:p>
          <w:p>
            <w:hyperlink r:id="rId32">
              <w:r>
                <w:rPr>
                  <w:rStyle w:val="Hyperlink"/>
                </w:rPr>
                <w:t xml:space="preserve">CO:HF 273</w:t>
              </w:r>
            </w:hyperlink>
          </w:p>
        </w:tc>
        <w:tc>
          <w:tcPr>
            <w:tcW w:w="3600" w:type="dxa"/>
            <w:noWrap w:val="false"/>
          </w:tcPr>
          <w:p>
            <w:r>
              <w:rPr>
                <w:sz w:val="20"/>
              </w:rPr>
              <w:t>A bill for an act relating to the term brain health.(Formerly SSB 1078.)</w:t>
            </w:r>
          </w:p>
        </w:tc>
        <w:tc>
          <w:tcPr>
            <w:tcW w:w="4320" w:type="dxa"/>
            <w:noWrap w:val="false"/>
          </w:tcPr>
          <w:p>
            <w:r>
              <w:rPr>
                <w:sz w:val="20"/>
              </w:rPr>
              <w:t>Referred to Health and Human Services. (6/5/23)</w:t>
            </w:r>
          </w:p>
        </w:tc>
        <w:tc>
          <w:tcPr>
            <w:tcW w:w="4320" w:type="dxa"/>
            <w:noWrap w:val="false"/>
          </w:tcPr>
          <w:p>
            <w:pPr>
              <w:spacing w:before="0" w:after="0"/>
            </w:pPr>
            <w:r>
              <w:t/>
            </w:r>
          </w:p>
        </w:tc>
      </w:tr>
      <w:tr>
        <w:trPr>
          <w:cantSplit w:val="true"/>
        </w:trPr>
        <w:tc>
          <w:tcPr>
            <w:tcW w:w="2160" w:type="dxa"/>
            <w:noWrap w:val="false"/>
          </w:tcPr>
          <w:p>
            <w:hyperlink r:id="rId33">
              <w:r>
                <w:rPr>
                  <w:rStyle w:val="Hyperlink"/>
                </w:rPr>
                <w:t xml:space="preserve">SF 300</w:t>
              </w:r>
            </w:hyperlink>
          </w:p>
        </w:tc>
        <w:tc>
          <w:tcPr>
            <w:tcW w:w="3600" w:type="dxa"/>
            <w:noWrap w:val="false"/>
          </w:tcPr>
          <w:p>
            <w:r>
              <w:rPr>
                <w:sz w:val="20"/>
              </w:rPr>
              <w:t>A bill for an act relating to professional disciplinary actions against persons in health-related professions.</w:t>
            </w:r>
          </w:p>
        </w:tc>
        <w:tc>
          <w:tcPr>
            <w:tcW w:w="4320" w:type="dxa"/>
            <w:noWrap w:val="false"/>
          </w:tcPr>
          <w:p>
            <w:r>
              <w:rPr>
                <w:sz w:val="20"/>
              </w:rPr>
              <w:t>Subcommittee recommends passage. []. (2/21/23)</w:t>
            </w:r>
          </w:p>
        </w:tc>
        <w:tc>
          <w:tcPr>
            <w:tcW w:w="4320" w:type="dxa"/>
            <w:noWrap w:val="false"/>
          </w:tcPr>
          <w:p>
            <w:pPr>
              <w:spacing w:before="0" w:after="0"/>
            </w:pPr>
            <w:r>
              <w:t/>
            </w:r>
          </w:p>
        </w:tc>
      </w:tr>
      <w:tr>
        <w:trPr>
          <w:cantSplit w:val="true"/>
        </w:trPr>
        <w:tc>
          <w:tcPr>
            <w:tcW w:w="2160" w:type="dxa"/>
            <w:noWrap w:val="false"/>
          </w:tcPr>
          <w:p>
            <w:hyperlink r:id="rId34">
              <w:r>
                <w:rPr>
                  <w:rStyle w:val="Hyperlink"/>
                </w:rPr>
                <w:t xml:space="preserve">SF 343</w:t>
              </w:r>
            </w:hyperlink>
          </w:p>
          <w:p>
            <w:hyperlink r:id="rId35">
              <w:r>
                <w:rPr>
                  <w:rStyle w:val="Hyperlink"/>
                </w:rPr>
                <w:t xml:space="preserve">CO:HF 285</w:t>
              </w:r>
            </w:hyperlink>
          </w:p>
        </w:tc>
        <w:tc>
          <w:tcPr>
            <w:tcW w:w="3600" w:type="dxa"/>
            <w:noWrap w:val="false"/>
          </w:tcPr>
          <w:p>
            <w:r>
              <w:rPr>
                <w:sz w:val="20"/>
              </w:rPr>
              <w:t>A bill for an act relating to excused absences for certain autism-related health care activities for students of a school district.</w:t>
            </w:r>
          </w:p>
        </w:tc>
        <w:tc>
          <w:tcPr>
            <w:tcW w:w="4320" w:type="dxa"/>
            <w:noWrap w:val="false"/>
          </w:tcPr>
          <w:p>
            <w:r>
              <w:rPr>
                <w:sz w:val="20"/>
              </w:rPr>
              <w:t>Subcommittee recommends passage. []. (2/27/23)</w:t>
            </w:r>
          </w:p>
        </w:tc>
        <w:tc>
          <w:tcPr>
            <w:tcW w:w="4320" w:type="dxa"/>
            <w:noWrap w:val="false"/>
          </w:tcPr>
          <w:p>
            <w:pPr>
              <w:spacing w:before="0" w:after="0"/>
            </w:pPr>
            <w:r>
              <w:t/>
            </w:r>
          </w:p>
          <w:p>
            <w:pPr>
              <w:spacing w:before="0" w:after="0"/>
            </w:pPr>
            <w:r>
              <w:t>Similar discussion as the House's subcommittee (HF 285). Some discussion of an amendment to include tutoring language. </w:t>
            </w:r>
          </w:p>
          <w:p>
            <w:pPr>
              <w:spacing w:before="0" w:after="0"/>
            </w:pPr>
            <w:r>
              <w:t/>
            </w:r>
          </w:p>
        </w:tc>
      </w:tr>
      <w:tr>
        <w:trPr>
          <w:cantSplit w:val="true"/>
        </w:trPr>
        <w:tc>
          <w:tcPr>
            <w:tcW w:w="2160" w:type="dxa"/>
            <w:noWrap w:val="false"/>
          </w:tcPr>
          <w:p>
            <w:hyperlink r:id="rId36">
              <w:r>
                <w:rPr>
                  <w:rStyle w:val="Hyperlink"/>
                </w:rPr>
                <w:t xml:space="preserve">SSB 1045</w:t>
              </w:r>
            </w:hyperlink>
          </w:p>
        </w:tc>
        <w:tc>
          <w:tcPr>
            <w:tcW w:w="3600" w:type="dxa"/>
            <w:noWrap w:val="false"/>
          </w:tcPr>
          <w:p>
            <w:r>
              <w:rPr>
                <w:sz w:val="20"/>
              </w:rPr>
              <w:t>A bill for an act relating to professionals who qualify as mental health professionals in certain circumstances.</w:t>
            </w:r>
          </w:p>
        </w:tc>
        <w:tc>
          <w:tcPr>
            <w:tcW w:w="4320" w:type="dxa"/>
            <w:noWrap w:val="false"/>
          </w:tcPr>
          <w:p>
            <w:r>
              <w:rPr>
                <w:sz w:val="20"/>
              </w:rPr>
              <w:t>Tabled until future meeting. []. (1/24/23)</w:t>
            </w:r>
          </w:p>
        </w:tc>
        <w:tc>
          <w:tcPr>
            <w:tcW w:w="4320" w:type="dxa"/>
            <w:noWrap w:val="false"/>
          </w:tcPr>
          <w:p>
            <w:pPr>
              <w:spacing w:before="0" w:after="0"/>
            </w:pPr>
            <w:r>
              <w:t>Support/For</w:t>
            </w:r>
          </w:p>
          <w:p>
            <w:pPr>
              <w:spacing w:before="0" w:after="0"/>
            </w:pPr>
            <w:r>
              <w:t>1/24: after the bill died in the subcommittee, we talked to the staff and the republican members of the cmte. They are finding it difficult to move the bill since the entire MH and medical community is opposed. They had an idea to find all the code sections that reference back to IA Code 228, there are 10 or so. The issue is not section 228, its the one that refer to code 228. Once we find out which ones apply and which ones don't, we can adjust the langauge and come another bill.  Expect this one to die and a new one to be introduced.  Know we are still working on the issue. </w:t>
            </w:r>
          </w:p>
          <w:p>
            <w:pPr>
              <w:spacing w:before="0" w:after="0"/>
            </w:pPr>
            <w:r>
              <w:t/>
            </w:r>
          </w:p>
        </w:tc>
      </w:tr>
      <w:tr>
        <w:trPr>
          <w:cantSplit w:val="true"/>
        </w:trPr>
        <w:tc>
          <w:tcPr>
            <w:tcW w:w="2160" w:type="dxa"/>
            <w:noWrap w:val="false"/>
          </w:tcPr>
          <w:p>
            <w:hyperlink r:id="rId37">
              <w:r>
                <w:rPr>
                  <w:rStyle w:val="Hyperlink"/>
                </w:rPr>
                <w:t xml:space="preserve">SSB 1100</w:t>
              </w:r>
            </w:hyperlink>
          </w:p>
        </w:tc>
        <w:tc>
          <w:tcPr>
            <w:tcW w:w="3600" w:type="dxa"/>
            <w:noWrap w:val="false"/>
          </w:tcPr>
          <w:p>
            <w:r>
              <w:rPr>
                <w:sz w:val="20"/>
              </w:rPr>
              <w:t>A bill for an act relating to prior authorization exemptions for certain health care providers for specific health care services.</w:t>
            </w:r>
          </w:p>
        </w:tc>
        <w:tc>
          <w:tcPr>
            <w:tcW w:w="4320" w:type="dxa"/>
            <w:noWrap w:val="false"/>
          </w:tcPr>
          <w:p>
            <w:r>
              <w:rPr>
                <w:sz w:val="20"/>
              </w:rPr>
              <w:t>Subcommittee Meeting: 02/08/2023 4:00PM Room 315. (2/8/23)</w:t>
            </w:r>
          </w:p>
        </w:tc>
        <w:tc>
          <w:tcPr>
            <w:tcW w:w="4320" w:type="dxa"/>
            <w:noWrap w:val="false"/>
          </w:tcPr>
          <w:p>
            <w:pPr>
              <w:spacing w:before="0" w:after="0"/>
            </w:pPr>
            <w:r>
              <w:t/>
            </w:r>
          </w:p>
          <w:p>
            <w:pPr>
              <w:spacing w:before="0" w:after="0"/>
            </w:pPr>
            <w:r>
              <w:t>Like the House’s subcommittee, insurance lobbyists lined up to speak against this bill. Representation from Wellmark suggested that if lawmakers are set on continuing this discussion, they should change the bill to direct health carriers to implement a prior authorization gold card system. He said this shouldn’t be a one-size fits all approach and the carrier should have the ability to craft its own gold card program. “Eliminating prior auth isn’t in the patient’s interest… this is a safety issue.”</w:t>
            </w:r>
          </w:p>
          <w:p>
            <w:pPr>
              <w:spacing w:before="0" w:after="0"/>
            </w:pPr>
            <w:r>
              <w:t/>
            </w:r>
          </w:p>
        </w:tc>
      </w:tr>
    </w:tbl>
    <w:sectPr>
      <w:headerReference w:type="default" r:id="rId2"/>
      <w:footerReference w:type="default" r:id="rId3"/>
      <w:type w:val="nextPage"/>
      <w:pgSz w:w="15840" w:h="12240" w:orient="landscape"/>
      <w:pgMar w:top="1221" w:right="720" w:bottom="720" w:left="720" w:header="432" w:footer="288" w:gutter="0"/>
      <w:pgNumType w:fmt="decimal"/>
      <w:formProt w:val="false"/>
      <w:textDirection w:val="lrTb"/>
      <w:docGrid w:type="default" w:linePitch="100" w:charSpace="0"/>
    </w:sectPr>
  </w:body>
</w:document>
</file>

<file path=word/fontTable.xml><?xml version="1.0" encoding="utf-8"?>
<w:font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roman"/>
    <w:pitch w:val="variable"/>
  </w:font>
  <w:font w:name="Calibri">
    <w:charset w:val="01"/>
    <w:family w:val="roman"/>
    <w:pitch w:val="variable"/>
  </w:font>
  <w:font w:name="Cambria">
    <w:charset w:val="01"/>
    <w:family w:val="roman"/>
    <w:pitch w:val="variable"/>
  </w:font>
</w:fonts>
</file>

<file path=word/footer1.xml><?xml version="1.0" encoding="utf-8"?>
<w:ft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Footer"/>
      <w:spacing w:before="0" w:after="120"/>
      <w:jc w:val="center"/>
      <w:rPr/>
    </w:pPr>
    <w:r>
      <w:rPr>
        <w:rFonts w:ascii="Cambria" w:hAnsi="Cambria"/>
      </w:rPr>
      <w:t xml:space="preserve">PAGE </w:t>
    </w:r>
    <w:r>
      <w:rPr/>
      <w:fldChar w:fldCharType="begin"/>
    </w:r>
    <w:r>
      <w:rPr/>
      <w:instrText> PAGE </w:instrText>
    </w:r>
    <w:r>
      <w:rPr/>
      <w:fldChar w:fldCharType="separate"/>
    </w:r>
    <w:r>
      <w:rPr/>
      <w:t>1</w:t>
    </w:r>
    <w:r>
      <w:rPr/>
      <w:fldChar w:fldCharType="end"/>
    </w:r>
    <w:r>
      <w:rPr>
        <w:rFonts w:ascii="Cambria" w:hAnsi="Cambria"/>
        <w:sz w:val="18"/>
        <w:szCs w:val="18"/>
      </w:rPr>
      <w:t xml:space="preserve"> - </w:t>
    </w:r>
    <w:r>
      <w:rPr/>
      <w:fldChar w:fldCharType="begin"/>
    </w:r>
    <w:r>
      <w:rPr/>
      <w:instrText> DATE \@"M\/d\/yy" </w:instrText>
    </w:r>
    <w:r>
      <w:rPr/>
      <w:fldChar w:fldCharType="separate"/>
    </w:r>
    <w:r>
      <w:rPr/>
      <w:t>11/21/23</w:t>
    </w:r>
    <w:r>
      <w:rPr/>
      <w:fldChar w:fldCharType="end"/>
    </w:r>
  </w:p>
</w:ftr>
</file>

<file path=word/header1.xml><?xml version="1.0" encoding="utf-8"?>
<w:hdr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p>
    <w:pPr>
      <w:pStyle w:val="Header"/>
      <w:rPr/>
    </w:pPr>
    <w:r>
      <w:drawing>
        <wp:anchor distT="0" distB="0" distL="0" distR="0" simplePos="false" relativeHeight="2" behindDoc="false" locked="false" layoutInCell="false" allowOverlap="true">
          <wp:simplePos x="0" y="0"/>
          <wp:positionH relativeFrom="column">
            <wp:posOffset>-114300</wp:posOffset>
          </wp:positionH>
          <wp:positionV relativeFrom="paragraph">
            <wp:posOffset>-33020</wp:posOffset>
          </wp:positionV>
          <wp:extent cx="2038350" cy="743585"/>
          <wp:effectExtent l="0" t="0" r="0" b="0"/>
          <wp:wrapTight wrapText="bothSides">
            <wp:wrapPolygon edited="false">
              <wp:start x="-33" y="0"/>
              <wp:lineTo x="-33" y="21297"/>
              <wp:lineTo x="21510" y="21297"/>
              <wp:lineTo x="21510" y="0"/>
              <wp:lineTo x="-33" y="0"/>
            </wp:wrapPolygon>
          </wp:wrapTight>
          <wp:docPr id="1" name="Image1" descr=""/>
          <wp:cNvGraphicFramePr>
            <a:graphicFrameLocks noChangeAspect="true"/>
          </wp:cNvGraphicFramePr>
          <a:graphic>
            <a:graphicData uri="http://schemas.openxmlformats.org/drawingml/2006/picture">
              <pic:pic>
                <pic:nvPicPr>
                  <pic:cNvPr id="1" name="Image1" descr=""/>
                  <pic:cNvPicPr>
                    <a:picLocks noChangeAspect="true" noChangeArrowheads="true"/>
                  </pic:cNvPicPr>
                </pic:nvPicPr>
                <pic:blipFill>
                  <a:blip r:embed="rId1"/>
                  <a:stretch>
                    <a:fillRect/>
                  </a:stretch>
                </pic:blipFill>
                <pic:spPr bwMode="auto">
                  <a:xfrm>
                    <a:off x="0" y="0"/>
                    <a:ext cx="2038350" cy="743585"/>
                  </a:xfrm>
                  <a:prstGeom prst="rect">
                    <a:avLst/>
                  </a:prstGeom>
                </pic:spPr>
              </pic:pic>
            </a:graphicData>
          </a:graphic>
        </wp:anchor>
      </w:drawing>
    </w:r>
    <w:r>
      <w:rPr/>
      <w:t xml:space="preserve">   </w:t>
    </w:r>
  </w:p>
  <w:p>
    <w:pPr>
      <w:pStyle w:val="Header"/>
      <w:rPr/>
    </w:pPr>
    <w:r>
      <w:rPr/>
      <w:t xml:space="preserve">                                                      </w:t>
    </w:r>
    <w:r>
      <w:rPr>
        <w:b/>
        <w:bCs/>
        <w:sz w:val="32"/>
        <w:szCs w:val="32"/>
      </w:rPr>
      <w:t>CLIENT</w:t>
    </w:r>
  </w:p>
</w:hdr>
</file>

<file path=word/settings.xml><?xml version="1.0" encoding="utf-8"?>
<w:setting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imes New Roman" w:hAnsi="Times New Roman" w:eastAsia="Arial Unicode MS" w:cs="Times New Roman"/>
        <w:lang w:val="en-US" w:eastAsia="zh-CN" w:bidi="hi-IN"/>
      </w:rPr>
    </w:rPrDefault>
    <w:pPrDefault>
      <w:pPr>
        <w:suppressAutoHyphens w:val="tru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pPr>
      <w:widowControl/>
      <w:suppressAutoHyphens w:val="false"/>
      <w:bidi w:val="false"/>
      <w:spacing w:before="0" w:after="0"/>
      <w:jc w:val="left"/>
    </w:pPr>
    <w:rPr>
      <w:rFonts w:ascii="Gill Sans MT" w:hAnsi="Times New Roman" w:eastAsia="Arial Unicode MS" w:cs="Times New Roman"/>
      <w:color w:val="auto"/>
      <w:kern w:val="0"/>
      <w:sz w:val="24"/>
      <w:szCs w:val="24"/>
      <w:u w:val="none" w:color="FFFFFF"/>
      <w:lang w:val="en-US" w:eastAsia="en-US" w:bidi="ar-SA"/>
    </w:rPr>
  </w:style>
  <w:style w:type="character" w:styleId="DefaultParagraphFont" w:default="true">
    <w:name w:val="Default Paragraph Font"/>
    <w:uiPriority w:val="1"/>
    <w:semiHidden/>
    <w:unhideWhenUsed/>
    <w:qFormat/>
    <w:rPr/>
  </w:style>
  <w:style w:type="character" w:styleId="InternetLink">
    <w:name w:val="Hyperlink"/>
    <w:rPr>
      <w:rFonts w:ascii="Gill Sans MT"/>
      <w:b w:val="true"/>
      <w:color w:val="000000"/>
      <w:sz w:val="22"/>
      <w:u w:val="single" w:color="000000"/>
    </w:rPr>
  </w:style>
  <w:style w:type="paragraph" w:styleId="Heading" w:customStyle="true">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true">
    <w:name w:val="Index"/>
    <w:basedOn w:val="Normal"/>
    <w:qFormat/>
    <w:pPr>
      <w:suppressLineNumbers/>
    </w:pPr>
    <w:rPr>
      <w:rFonts w:cs="Arial Unicode MS"/>
    </w:rPr>
  </w:style>
  <w:style w:type="paragraph" w:styleId="Caption1">
    <w:name w:val="caption"/>
    <w:basedOn w:val="Normal"/>
    <w:qFormat/>
    <w:pPr>
      <w:suppressLineNumbers/>
      <w:spacing w:before="120" w:after="120"/>
    </w:pPr>
    <w:rPr>
      <w:rFonts w:cs="Arial Unicode MS"/>
      <w:i/>
      <w:iCs/>
    </w:rPr>
  </w:style>
  <w:style w:type="paragraph" w:styleId="Body" w:customStyle="true">
    <w:name w:val="Body"/>
    <w:qFormat/>
    <w:pPr>
      <w:widowControl/>
      <w:suppressAutoHyphens w:val="true"/>
      <w:bidi w:val="false"/>
      <w:spacing w:before="0" w:after="120" w:line="276" w:lineRule="auto"/>
      <w:jc w:val="left"/>
    </w:pPr>
    <w:rPr>
      <w:rFonts w:ascii="Calibri" w:hAnsi="Calibri" w:eastAsia="Arial Unicode MS" w:cs="Arial Unicode MS"/>
      <w:color w:val="00000A"/>
      <w:kern w:val="0"/>
      <w:sz w:val="22"/>
      <w:szCs w:val="22"/>
      <w:u w:val="none" w:color="00000A"/>
      <w:lang w:val="de-DE" w:eastAsia="zh-CN" w:bidi="hi-IN"/>
    </w:rPr>
  </w:style>
  <w:style w:type="paragraph" w:styleId="HeaderandFooter" w:customStyle="true">
    <w:name w:val="Header and Footer"/>
    <w:basedOn w:val="Normal"/>
    <w:qFormat/>
    <w:pPr/>
    <w:rPr/>
  </w:style>
  <w:style w:type="paragraph" w:styleId="Footer">
    <w:name w:val="Footer"/>
    <w:pPr>
      <w:widowControl/>
      <w:tabs>
        <w:tab w:val="clear" w:pos="720"/>
        <w:tab w:val="center" w:leader="none" w:pos="4680"/>
        <w:tab w:val="right" w:leader="none" w:pos="9360"/>
      </w:tabs>
      <w:suppressAutoHyphens w:val="true"/>
      <w:bidi w:val="false"/>
      <w:spacing w:before="0" w:after="0"/>
      <w:jc w:val="left"/>
    </w:pPr>
    <w:rPr>
      <w:rFonts w:ascii="Calibri" w:hAnsi="Calibri" w:eastAsia="Arial Unicode MS" w:cs="Arial Unicode MS"/>
      <w:color w:val="00000A"/>
      <w:kern w:val="0"/>
      <w:sz w:val="22"/>
      <w:szCs w:val="22"/>
      <w:u w:val="none" w:color="00000A"/>
      <w:lang w:val="en-US" w:eastAsia="zh-CN" w:bidi="hi-IN"/>
    </w:rPr>
  </w:style>
  <w:style w:type="paragraph" w:styleId="Header">
    <w:name w:val="Header"/>
    <w:basedOn w:val="HeaderandFooter"/>
    <w:pPr/>
    <w:rPr/>
  </w:style>
  <w:style w:type="numbering" w:styleId="NoList" w:default="true">
    <w:name w:val="No List"/>
    <w:uiPriority w:val="99"/>
    <w:semiHidden/>
    <w:unhideWhenUsed/>
    <w:qFormat/>
  </w:style>
  <w:style w:type="table" w:styleId="TableNormal" w:default="true">
    <w:name w:val="Normal Table"/>
    <w:uiPriority w:val="99"/>
    <w:semiHidden/>
    <w:unhideWhenUsed/>
    <w:tblPr>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Relationship Target="header1.xml" Type="http://schemas.openxmlformats.org/officeDocument/2006/relationships/header" Id="rId2"></Relationship><Relationship Target="footer1.xml" Type="http://schemas.openxmlformats.org/officeDocument/2006/relationships/footer" Id="rId3"></Relationship><Relationship Target="fontTable.xml" Type="http://schemas.openxmlformats.org/officeDocument/2006/relationships/fontTable" Id="rId4"></Relationship><Relationship Target="settings.xml" Type="http://schemas.openxmlformats.org/officeDocument/2006/relationships/settings" Id="rId5"></Relationship><Relationship Target="theme/theme1.xml" Type="http://schemas.openxmlformats.org/officeDocument/2006/relationships/theme" Id="rId6"></Relationship><Relationship TargetMode="External" Target="https://www.legis.iowa.gov/legislation/BillBook?ga=90&amp;ba=HF243" Type="http://schemas.openxmlformats.org/officeDocument/2006/relationships/hyperlink" Id="rId7"/><Relationship TargetMode="External" Target="https://www.legis.iowa.gov/legislation/BillBook?ga=90&amp;ba=HF273" Type="http://schemas.openxmlformats.org/officeDocument/2006/relationships/hyperlink" Id="rId8"/><Relationship TargetMode="External" Target="https://www.legis.iowa.gov/legislation/BillBook?ga=90&amp;ba=SF210" Type="http://schemas.openxmlformats.org/officeDocument/2006/relationships/hyperlink" Id="rId9"/><Relationship TargetMode="External" Target="https://www.legis.iowa.gov/legislation/BillBook?ga=90&amp;ba=SF210" Type="http://schemas.openxmlformats.org/officeDocument/2006/relationships/hyperlink" Id="rId10"/><Relationship TargetMode="External" Target="https://www.legis.iowa.gov/legislation/BillBook?ga=90&amp;ba=HF273" Type="http://schemas.openxmlformats.org/officeDocument/2006/relationships/hyperlink" Id="rId11"/><Relationship TargetMode="External" Target="https://www.legis.iowa.gov/legislation/BillBook?ga=90&amp;ba=SSB1045" Type="http://schemas.openxmlformats.org/officeDocument/2006/relationships/hyperlink" Id="rId12"/><Relationship TargetMode="External" Target="https://www.legis.iowa.gov/legislation/BillBook?ga=90&amp;ba=HF174" Type="http://schemas.openxmlformats.org/officeDocument/2006/relationships/hyperlink" Id="rId13"/><Relationship TargetMode="External" Target="https://www.legis.iowa.gov/legislation/BillBook?ga=90&amp;ba=HF357" Type="http://schemas.openxmlformats.org/officeDocument/2006/relationships/hyperlink" Id="rId14"/><Relationship TargetMode="External" Target="https://www.legis.iowa.gov/legislation/BillBook?ga=90&amp;ba=SF327" Type="http://schemas.openxmlformats.org/officeDocument/2006/relationships/hyperlink" Id="rId15"/><Relationship TargetMode="External" Target="https://www.legis.iowa.gov/legislation/BillBook?ga=90&amp;ba=SF514" Type="http://schemas.openxmlformats.org/officeDocument/2006/relationships/hyperlink" Id="rId16"/><Relationship TargetMode="External" Target="https://www.legis.iowa.gov/legislation/BillBook?ga=90&amp;ba=SF557" Type="http://schemas.openxmlformats.org/officeDocument/2006/relationships/hyperlink" Id="rId17"/><Relationship TargetMode="External" Target="https://www.legis.iowa.gov/legislation/BillBook?ga=90&amp;ba=SF560" Type="http://schemas.openxmlformats.org/officeDocument/2006/relationships/hyperlink" Id="rId18"/><Relationship TargetMode="External" Target="https://www.legis.iowa.gov/legislation/BillBook?ga=90&amp;ba=SF561" Type="http://schemas.openxmlformats.org/officeDocument/2006/relationships/hyperlink" Id="rId19"/><Relationship TargetMode="External" Target="https://www.legis.iowa.gov/legislation/BillBook?ga=90&amp;ba=HF243" Type="http://schemas.openxmlformats.org/officeDocument/2006/relationships/hyperlink" Id="rId20"/><Relationship TargetMode="External" Target="https://www.legis.iowa.gov/legislation/BillBook?ga=90&amp;ba=HF610" Type="http://schemas.openxmlformats.org/officeDocument/2006/relationships/hyperlink" Id="rId21"/><Relationship TargetMode="External" Target="https://www.legis.iowa.gov/legislation/BillBook?ga=90&amp;ba=HF285" Type="http://schemas.openxmlformats.org/officeDocument/2006/relationships/hyperlink" Id="rId22"/><Relationship TargetMode="External" Target="https://www.legis.iowa.gov/legislation/BillBook?ga=90&amp;ba=HF273" Type="http://schemas.openxmlformats.org/officeDocument/2006/relationships/hyperlink" Id="rId23"/><Relationship TargetMode="External" Target="https://www.legis.iowa.gov/legislation/BillBook?ga=90&amp;ba=SF210" Type="http://schemas.openxmlformats.org/officeDocument/2006/relationships/hyperlink" Id="rId24"/><Relationship TargetMode="External" Target="https://www.legis.iowa.gov/legislation/BillBook?ga=90&amp;ba=HF562" Type="http://schemas.openxmlformats.org/officeDocument/2006/relationships/hyperlink" Id="rId25"/><Relationship TargetMode="External" Target="https://www.legis.iowa.gov/legislation/BillBook?ga=90&amp;ba=HR9" Type="http://schemas.openxmlformats.org/officeDocument/2006/relationships/hyperlink" Id="rId26"/><Relationship TargetMode="External" Target="https://www.legis.iowa.gov/legislation/BillBook?ga=90&amp;ba=HSB130" Type="http://schemas.openxmlformats.org/officeDocument/2006/relationships/hyperlink" Id="rId27"/><Relationship TargetMode="External" Target="https://www.legis.iowa.gov/legislation/BillBook?ga=90&amp;ba=SF5" Type="http://schemas.openxmlformats.org/officeDocument/2006/relationships/hyperlink" Id="rId28"/><Relationship TargetMode="External" Target="https://www.legis.iowa.gov/legislation/BillBook?ga=90&amp;ba=SF136" Type="http://schemas.openxmlformats.org/officeDocument/2006/relationships/hyperlink" Id="rId29"/><Relationship TargetMode="External" Target="https://www.legis.iowa.gov/legislation/BillBook?ga=90&amp;ba=SF172" Type="http://schemas.openxmlformats.org/officeDocument/2006/relationships/hyperlink" Id="rId30"/><Relationship TargetMode="External" Target="https://www.legis.iowa.gov/legislation/BillBook?ga=90&amp;ba=SF210" Type="http://schemas.openxmlformats.org/officeDocument/2006/relationships/hyperlink" Id="rId31"/><Relationship TargetMode="External" Target="https://www.legis.iowa.gov/legislation/BillBook?ga=90&amp;ba=HF273" Type="http://schemas.openxmlformats.org/officeDocument/2006/relationships/hyperlink" Id="rId32"/><Relationship TargetMode="External" Target="https://www.legis.iowa.gov/legislation/BillBook?ga=90&amp;ba=SF300" Type="http://schemas.openxmlformats.org/officeDocument/2006/relationships/hyperlink" Id="rId33"/><Relationship TargetMode="External" Target="https://www.legis.iowa.gov/legislation/BillBook?ga=90&amp;ba=SF343" Type="http://schemas.openxmlformats.org/officeDocument/2006/relationships/hyperlink" Id="rId34"/><Relationship TargetMode="External" Target="https://www.legis.iowa.gov/legislation/BillBook?ga=90&amp;ba=HF285" Type="http://schemas.openxmlformats.org/officeDocument/2006/relationships/hyperlink" Id="rId35"/><Relationship TargetMode="External" Target="https://www.legis.iowa.gov/legislation/BillBook?ga=90&amp;ba=SSB1045" Type="http://schemas.openxmlformats.org/officeDocument/2006/relationships/hyperlink" Id="rId36"/><Relationship TargetMode="External" Target="https://www.legis.iowa.gov/legislation/BillBook?ga=90&amp;ba=SSB1100" Type="http://schemas.openxmlformats.org/officeDocument/2006/relationships/hyperlink" Id="rId37"/></Relationships>
</file>

<file path=word/_rels/header1.xml.rels><?xml version="1.0" encoding="UTF-8" standalone="yes"?><Relationships xmlns="http://schemas.openxmlformats.org/package/2006/relationships"><Relationship Target="media/image1.jpeg" Type="http://schemas.openxmlformats.org/officeDocument/2006/relationships/image" Id="rId1"></Relationship></Relationships>
</file>

<file path=word/theme/theme1.xml><?xml version="1.0" encoding="utf-8"?>
<a:theme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tint val="100000"/>
                <a:shade val="100000"/>
                <a:satMod val="129999"/>
              </a:schemeClr>
            </a:gs>
            <a:gs pos="100000">
              <a:schemeClr val="phClr">
                <a:tint val="50000"/>
                <a:shade val="100000"/>
                <a:satMod val="350000"/>
              </a:schemeClr>
            </a:gs>
          </a:gsLst>
          <a:lin ang="16200000" scaled="false"/>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false">
              <a:srgbClr val="000000">
                <a:alpha val="35000"/>
              </a:srgbClr>
            </a:outerShdw>
          </a:effectLst>
        </a:effectStyle>
        <a:effectStyle>
          <a:effectLst>
            <a:outerShdw blurRad="38100" dist="23000" dir="5400000" rotWithShape="false">
              <a:srgbClr val="000000">
                <a:alpha val="35000"/>
              </a:srgbClr>
            </a:outerShdw>
          </a:effectLst>
        </a:effectStyle>
        <a:effectStyle>
          <a:effectLst>
            <a:outerShdw blurRad="38100" dist="20000" dir="5400000" rotWithShape="false">
              <a:srgbClr val="000000">
                <a:alpha val="38000"/>
              </a:srgbClr>
            </a:outerShdw>
          </a:effectLst>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false">
            <a:srgbClr val="000000">
              <a:alpha val="35000"/>
            </a:srgbClr>
          </a:outerShdw>
        </a:effectLst>
        <a:sp3d/>
      </a:spPr>
      <a:bodyPr rot="0" spcFirstLastPara="true" vertOverflow="overflow" horzOverflow="overflow" vert="horz" wrap="square" lIns="45719" tIns="45719" rIns="45719" bIns="45719" numCol="1" spcCol="38100" rtlCol="false" anchor="ctr">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false">
            <a:srgbClr val="000000">
              <a:alpha val="38000"/>
            </a:srgbClr>
          </a:outerShdw>
        </a:effectLst>
        <a:sp3d/>
      </a:spPr>
      <a:bodyPr rot="0" spcFirstLastPara="true" vertOverflow="overflow" horzOverflow="overflow" vert="horz" wrap="square" lIns="91439" tIns="45719" rIns="91439" bIns="45719" numCol="1" spcCol="38100" rtlCol="false" anchor="t">
        <a:noAutofit/>
      </a:bodyPr>
      <a:lstStyle>
        <a:def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true" vertOverflow="overflow" horzOverflow="overflow" vert="horz" wrap="square" lIns="45719" tIns="45719" rIns="45719" bIns="45719" numCol="1" spcCol="38100" rtlCol="false" anchor="t">
        <a:spAutoFit/>
      </a:bodyPr>
      <a:lstStyle>
        <a:defPPr marL="0" marR="0" indent="0" algn="l" defTabSz="914400" rtl="false" fontAlgn="auto" latinLnBrk="fals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latin typeface="Calibri"/>
            <a:ea typeface="Calibri"/>
            <a:cs typeface="Calibri"/>
            <a:sym typeface="Calibri"/>
          </a:defRPr>
        </a:defPPr>
        <a:lvl1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1pPr>
        <a:lvl2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2pPr>
        <a:lvl3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3pPr>
        <a:lvl4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4pPr>
        <a:lvl5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5pPr>
        <a:lvl6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6pPr>
        <a:lvl7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7pPr>
        <a:lvl8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8pPr>
        <a:lvl9pPr marL="0" marR="0" indent="0" algn="l" defTabSz="914400" rtl="false" fontAlgn="auto" latinLnBrk="true" hangingPunct="false">
          <a:lnSpc>
            <a:spcPct val="100000"/>
          </a:lnSpc>
          <a:spcBef>
            <a:spcPts val="0"/>
          </a:spcBef>
          <a:spcAft>
            <a:spcPts val="0"/>
          </a:spcAft>
          <a:buClrTx/>
          <a:buSzTx/>
          <a:buFontTx/>
          <a:buNone/>
          <a:tabLst/>
          <a:defRPr kumimoji="false" sz="1800" b="false" i="false" u="none" strike="noStrike" cap="none" spc="0" normalizeH="false"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Pages>1</properties:Pages>
  <properties:Words>5</properties:Words>
  <properties:Characters>20</properties:Characters>
  <properties:Paragraphs>3</properties:Paragraphs>
  <properties:TotalTime>203</properties:TotalTime>
  <properties:CharactersWithSpaces>80</properties:CharactersWithSpac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2023-11-21T15:17:00Z</dcterms:created>
  <dc:creator>Nick Laning</dc:creator>
  <dc:description/>
  <dc:language>en-US</dc:language>
  <cp:lastModifiedBy>docx4j</cp:lastModifiedBy>
  <dcterms:modified xmlns:xsi="http://www.w3.org/2001/XMLSchema-instance" xsi:type="dcterms:W3CDTF">2023-11-21T20:33:33Z</dcterms:modified>
  <cp:revision>6</cp:revision>
  <dc:subject/>
  <dc:title/>
</cp:coreProperties>
</file>

<file path=docProps/custom.xml><?xml version="1.0" encoding="utf-8"?>
<prop:Properties xmlns:vt="http://schemas.openxmlformats.org/officeDocument/2006/docPropsVTypes" xmlns:prop="http://schemas.openxmlformats.org/officeDocument/2006/custom-properties"/>
</file>