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257</w:t>
              </w:r>
            </w:hyperlink>
          </w:p>
        </w:tc>
        <w:tc>
          <w:tcPr>
            <w:tcW w:w="3600" w:type="dxa"/>
            <w:noWrap w:val="false"/>
          </w:tcPr>
          <w:p>
            <w:r>
              <w:rPr>
                <w:sz w:val="20"/>
              </w:rPr>
              <w:t>A bill for an act relating to third-party testers who administer the knowledge and driving skills tests required for a commercial learner's permit or commercial driver's license. (Formerly HSB 28.) Effective date: 07/01/2023.</w:t>
            </w:r>
          </w:p>
        </w:tc>
        <w:tc>
          <w:tcPr>
            <w:tcW w:w="4320" w:type="dxa"/>
            <w:noWrap w:val="false"/>
          </w:tcPr>
          <w:p>
            <w:r>
              <w:rPr>
                <w:sz w:val="20"/>
              </w:rPr>
              <w:t>Signed by Governor. (3/22/23)</w:t>
            </w:r>
            <w:br/>
            <w:r>
              <w:rPr>
                <w:sz w:val="20"/>
              </w:rPr>
              <w:t>Passed House, yeas 79, nays 20. (2/15/23)</w:t>
            </w:r>
            <w:br/>
            <w:r>
              <w:rPr>
                <w:sz w:val="20"/>
              </w:rPr>
              <w:t>Passed Senate, yeas 49, nays 0. (3/7/23)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SF 75</w:t>
              </w:r>
            </w:hyperlink>
          </w:p>
          <w:p>
            <w:hyperlink r:id="rId10">
              <w:r>
                <w:rPr>
                  <w:rStyle w:val="Hyperlink"/>
                </w:rPr>
                <w:t xml:space="preserve">CO:HF 13</w:t>
              </w:r>
            </w:hyperlink>
          </w:p>
        </w:tc>
        <w:tc>
          <w:tcPr>
            <w:tcW w:w="3600" w:type="dxa"/>
            <w:noWrap w:val="false"/>
          </w:tcPr>
          <w:p>
            <w:r>
              <w:rPr>
                <w:sz w:val="20"/>
              </w:rPr>
              <w:t>A bill for an act relating to certain health facilities including ambulatory surgical centers and rural emergency hospitals, including licensing requirements and fees, providing penalties and making penalties applicable, providing emergency rulemaking authority, and including applicability and effective date provisions. Effective date: 03/28/2023, 07/01/2023. Contingent applicability date.</w:t>
            </w:r>
          </w:p>
        </w:tc>
        <w:tc>
          <w:tcPr>
            <w:tcW w:w="4320" w:type="dxa"/>
            <w:noWrap w:val="false"/>
          </w:tcPr>
          <w:p>
            <w:r>
              <w:rPr>
                <w:sz w:val="20"/>
              </w:rPr>
              <w:t>Signed by Governor. (3/28/23)</w:t>
            </w:r>
            <w:br/>
            <w:r>
              <w:rPr>
                <w:sz w:val="20"/>
              </w:rPr>
              <w:t>Passed Senate, yeas 48, nays 0. (2/15/23)</w:t>
            </w:r>
            <w:br/>
            <w:r>
              <w:rPr>
                <w:sz w:val="20"/>
              </w:rPr>
              <w:t>Passed House, yeas 97, nays 1. (3/7/23)</w:t>
            </w:r>
            <w:br/>
            <w:r>
              <w:rPr>
                <w:sz w:val="20"/>
              </w:rPr>
              <w:t>Passed Senate, yeas 47, nays 0. (3/14/23)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255</w:t>
              </w:r>
            </w:hyperlink>
          </w:p>
        </w:tc>
        <w:tc>
          <w:tcPr>
            <w:tcW w:w="3600" w:type="dxa"/>
            <w:noWrap w:val="false"/>
          </w:tcPr>
          <w:p>
            <w:r>
              <w:rPr>
                <w:sz w:val="20"/>
              </w:rPr>
              <w:t>A bill for an act modifying requirements related to teacher intern license programs and licenses and authorizations issued by the board of educational examiners and establishing a temporary initial teaching license to be issued by the board of educational examiners to applicants who complete an alternative teacher certification program. (Formerly HF 4.)</w:t>
            </w:r>
          </w:p>
        </w:tc>
        <w:tc>
          <w:tcPr>
            <w:tcW w:w="4320" w:type="dxa"/>
            <w:noWrap w:val="false"/>
          </w:tcPr>
          <w:p>
            <w:r>
              <w:rPr>
                <w:sz w:val="20"/>
              </w:rPr>
              <w:t>Subcommittee recommends passage. []. (3/21/23)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2">
              <w:r>
                <w:rPr>
                  <w:rStyle w:val="Hyperlink"/>
                </w:rPr>
                <w:t xml:space="preserve">HCR 1</w:t>
              </w:r>
            </w:hyperlink>
          </w:p>
        </w:tc>
        <w:tc>
          <w:tcPr>
            <w:tcW w:w="3600" w:type="dxa"/>
            <w:noWrap w:val="false"/>
          </w:tcPr>
          <w:p>
            <w:r>
              <w:rPr>
                <w:sz w:val="20"/>
              </w:rPr>
              <w:t>A concurrent resolution to provide for a joint convention.</w:t>
            </w:r>
          </w:p>
        </w:tc>
        <w:tc>
          <w:tcPr>
            <w:tcW w:w="4320" w:type="dxa"/>
            <w:noWrap w:val="false"/>
          </w:tcPr>
          <w:p>
            <w:r>
              <w:rPr>
                <w:sz w:val="20"/>
              </w:rPr>
              <w:t>Message from Senate. (1/9/23)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144</w:t>
              </w:r>
            </w:hyperlink>
          </w:p>
        </w:tc>
        <w:tc>
          <w:tcPr>
            <w:tcW w:w="3600" w:type="dxa"/>
            <w:noWrap w:val="false"/>
          </w:tcPr>
          <w:p>
            <w:r>
              <w:rPr>
                <w:sz w:val="20"/>
              </w:rPr>
              <w:t>A bill for an act relating to rural emergency hospitals, including licensing requirements and fees, making penalties applicable, providing emergency rulemaking authority, and including applicability and effective date provisions.(Formerly HF 13.)</w:t>
            </w:r>
          </w:p>
        </w:tc>
        <w:tc>
          <w:tcPr>
            <w:tcW w:w="4320" w:type="dxa"/>
            <w:noWrap w:val="false"/>
          </w:tcPr>
          <w:p>
            <w:r>
              <w:rPr>
                <w:sz w:val="20"/>
              </w:rPr>
              <w:t>Referred to Health and Human Services. (2/28/23)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HF 447</w:t>
              </w:r>
            </w:hyperlink>
          </w:p>
        </w:tc>
        <w:tc>
          <w:tcPr>
            <w:tcW w:w="3600" w:type="dxa"/>
            <w:noWrap w:val="false"/>
          </w:tcPr>
          <w:p>
            <w:r>
              <w:rPr>
                <w:sz w:val="20"/>
              </w:rPr>
              <w:t>A bill for an act relating to workforce development, including establishing the Iowa workforce grant and incentive program and modifying the responsibilities of the Iowa workforce development board and the state board of regents.(Formerly HF 6.)</w:t>
            </w:r>
          </w:p>
        </w:tc>
        <w:tc>
          <w:tcPr>
            <w:tcW w:w="4320" w:type="dxa"/>
            <w:noWrap w:val="false"/>
          </w:tcPr>
          <w:p>
            <w:r>
              <w:rPr>
                <w:sz w:val="20"/>
              </w:rPr>
              <w:t>Rereferred to Education. (5/4/23)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57" Type="http://schemas.openxmlformats.org/officeDocument/2006/relationships/hyperlink" Id="rId7"/><Relationship TargetMode="External" Target="https://www.legis.iowa.gov/legislation/BillBook?ga=90&amp;ba=HF718" Type="http://schemas.openxmlformats.org/officeDocument/2006/relationships/hyperlink" Id="rId8"/><Relationship TargetMode="External" Target="https://www.legis.iowa.gov/legislation/BillBook?ga=90&amp;ba=SF75" Type="http://schemas.openxmlformats.org/officeDocument/2006/relationships/hyperlink" Id="rId9"/><Relationship TargetMode="External" Target="https://www.legis.iowa.gov/legislation/BillBook?ga=90&amp;ba=HF13" Type="http://schemas.openxmlformats.org/officeDocument/2006/relationships/hyperlink" Id="rId10"/><Relationship TargetMode="External" Target="https://www.legis.iowa.gov/legislation/BillBook?ga=90&amp;ba=HF255" Type="http://schemas.openxmlformats.org/officeDocument/2006/relationships/hyperlink" Id="rId11"/><Relationship TargetMode="External" Target="https://www.legis.iowa.gov/legislation/BillBook?ga=90&amp;ba=HCR1" Type="http://schemas.openxmlformats.org/officeDocument/2006/relationships/hyperlink" Id="rId12"/><Relationship TargetMode="External" Target="https://www.legis.iowa.gov/legislation/BillBook?ga=90&amp;ba=HF144" Type="http://schemas.openxmlformats.org/officeDocument/2006/relationships/hyperlink" Id="rId13"/><Relationship TargetMode="External" Target="https://www.legis.iowa.gov/legislation/BillBook?ga=90&amp;ba=HF447" Type="http://schemas.openxmlformats.org/officeDocument/2006/relationships/hyperlink" Id="rId1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