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rPr/>
      </w:pPr>
      <w:r>
        <w:rPr/>
      </w:r>
    </w:p>
    <w:p>
      <w:pPr>
        <w:pStyle w:val="Body"/>
        <w:spacing w:before="0" w:after="0" w:line="240" w:lineRule="auto"/>
        <w:rPr/>
      </w:pPr>
      <w:r>
        <w:rPr/>
      </w:r>
    </w:p>
    <w:p>
      <w:pPr>
        <w:pStyle w:val="Body"/>
        <w:spacing w:before="0" w:after="0" w:line="240" w:lineRule="auto"/>
        <w:rPr/>
      </w:pPr>
      <w:r>
        <w:rPr/>
      </w:r>
    </w:p>
    <w:p>
      <w:r>
        <w:rPr>
          <w:sz w:val="24"/>
        </w:rPr>
        <w:t/>
      </w:r>
    </w:p>
    <w:p>
      <w:pPr>
        <w:spacing w:before="0" w:after="0"/>
      </w:pPr>
      <w:r>
        <w:rPr>
          <w:b w:val="true"/>
          <w:sz w:val="48"/>
          <w:u w:val="single"/>
        </w:rPr>
        <w:t>Signed by the Governor</w:t>
      </w:r>
    </w:p>
    <w:p>
      <w:r>
        <w:rPr>
          <w:sz w:val="48"/>
        </w:rPr>
        <w:t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160"/>
        <w:gridCol w:w="3600"/>
        <w:gridCol w:w="4320"/>
        <w:gridCol w:w="4320"/>
      </w:tblGrid>
      <w:tr>
        <w:trPr>
          <w:tblHeader w:val="true"/>
          <w:cantSplit w:val="true"/>
        </w:trPr>
        <w:tc>
          <w:tcPr>
            <w:tcW w:w="2160" w:type="dxa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NOTE</w:t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7">
              <w:r>
                <w:rPr>
                  <w:rStyle w:val="Hyperlink"/>
                </w:rPr>
                <w:t xml:space="preserve">HF 688</w:t>
              </w:r>
            </w:hyperlink>
          </w:p>
          <w:p>
            <w:hyperlink r:id="rId8">
              <w:r>
                <w:rPr>
                  <w:rStyle w:val="Hyperlink"/>
                </w:rPr>
                <w:t xml:space="preserve">CO:SF 568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concerning the state rulemaking process, related matters pertaining to agency functions, and including effective date provisions. (Formerly HSB 81.) Effective date: 07/01/2023, 01/01/2024.</w:t>
            </w:r>
          </w:p>
        </w:tc>
        <w:tc>
          <w:tcPr>
            <w:tcW w:w="4320" w:type="dxa"/>
            <w:noWrap w:val="false"/>
          </w:tcPr>
          <w:p>
            <w:r>
              <w:rPr>
                <w:sz w:val="20"/>
              </w:rPr>
              <w:t>Signed by Governor. (5/3/23)</w:t>
            </w:r>
            <w:br/>
            <w:r>
              <w:rPr>
                <w:sz w:val="20"/>
              </w:rPr>
              <w:t>Passed House, yeas 99, nays 0. (4/12/23)</w:t>
            </w:r>
            <w:br/>
            <w:r>
              <w:rPr>
                <w:sz w:val="20"/>
              </w:rPr>
              <w:t>Passed Senate, yeas 49, nays 0. (4/24/23)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sz w:val="24"/>
        </w:rPr>
        <w:t/>
      </w:r>
    </w:p>
    <w:p>
      <w:pPr>
        <w:spacing w:before="0" w:after="0"/>
      </w:pPr>
      <w:r>
        <w:rPr>
          <w:b w:val="true"/>
          <w:sz w:val="48"/>
          <w:u w:val="single"/>
        </w:rPr>
        <w:t>Did Not Advance</w:t>
      </w:r>
    </w:p>
    <w:p>
      <w:r>
        <w:rPr>
          <w:sz w:val="48"/>
        </w:rPr>
        <w:t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160"/>
        <w:gridCol w:w="3600"/>
        <w:gridCol w:w="4320"/>
        <w:gridCol w:w="4320"/>
      </w:tblGrid>
      <w:tr>
        <w:trPr>
          <w:tblHeader w:val="true"/>
          <w:cantSplit w:val="true"/>
        </w:trPr>
        <w:tc>
          <w:tcPr>
            <w:tcW w:w="2160" w:type="dxa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NOTE</w:t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9">
              <w:r>
                <w:rPr>
                  <w:rStyle w:val="Hyperlink"/>
                </w:rPr>
                <w:t xml:space="preserve">SF 265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regulating consumable hemp products, including by providing for in-person, face-to-face sales, and including effective date provisions.</w:t>
            </w:r>
          </w:p>
        </w:tc>
        <w:tc>
          <w:tcPr>
            <w:tcW w:w="4320" w:type="dxa"/>
            <w:noWrap w:val="false"/>
          </w:tcPr>
          <w:p>
            <w:r>
              <w:rPr>
                <w:sz w:val="20"/>
              </w:rPr>
              <w:t>Subcommittee: Schultz, Bousselot, and Celsi. (2/14/23)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sectPr>
      <w:headerReference w:type="default" r:id="rId2"/>
      <w:footerReference w:type="default" r:id="rId3"/>
      <w:type w:val="nextPage"/>
      <w:pgSz w:w="15840" w:h="12240" w:orient="landscape"/>
      <w:pgMar w:top="1221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</w:rPr>
      <w:t xml:space="preserve"> - </w:t>
    </w:r>
    <w:r>
      <w:rPr/>
      <w:fldChar w:fldCharType="begin"/>
    </w:r>
    <w:r>
      <w:rPr/>
      <w:instrText> DATE \@"M\/d\/yy" </w:instrText>
    </w:r>
    <w:r>
      <w:rPr/>
      <w:fldChar w:fldCharType="separate"/>
    </w:r>
    <w:r>
      <w:rPr/>
      <w:t>11/21/23</w:t>
    </w:r>
    <w:r>
      <w:rPr/>
      <w:fldChar w:fldCharType="end"/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Header"/>
      <w:rPr/>
    </w:pPr>
    <w:r>
      <w:drawing>
        <wp:anchor distT="0" distB="0" distL="0" distR="0" simplePos="false" relativeHeight="2" behindDoc="false" locked="false" layoutInCell="false" allowOverlap="true">
          <wp:simplePos x="0" y="0"/>
          <wp:positionH relativeFrom="column">
            <wp:posOffset>-114300</wp:posOffset>
          </wp:positionH>
          <wp:positionV relativeFrom="paragraph">
            <wp:posOffset>-33020</wp:posOffset>
          </wp:positionV>
          <wp:extent cx="2038350" cy="743585"/>
          <wp:effectExtent l="0" t="0" r="0" b="0"/>
          <wp:wrapTight wrapText="bothSides">
            <wp:wrapPolygon edited="false">
              <wp:start x="-33" y="0"/>
              <wp:lineTo x="-33" y="21297"/>
              <wp:lineTo x="21510" y="21297"/>
              <wp:lineTo x="21510" y="0"/>
              <wp:lineTo x="-33" y="0"/>
            </wp:wrapPolygon>
          </wp:wrapTight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</w:t>
    </w:r>
  </w:p>
  <w:p>
    <w:pPr>
      <w:pStyle w:val="Header"/>
      <w:rPr/>
    </w:pPr>
    <w:r>
      <w:rPr/>
      <w:t xml:space="preserve">                                                      </w:t>
    </w:r>
    <w:r>
      <w:rPr>
        <w:b/>
        <w:bCs/>
        <w:sz w:val="32"/>
        <w:szCs w:val="32"/>
      </w:rPr>
      <w:t>CLIENT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widowControl/>
      <w:suppressAutoHyphens w:val="false"/>
      <w:bidi w:val="false"/>
      <w:spacing w:before="0" w:after="0"/>
      <w:jc w:val="left"/>
    </w:pPr>
    <w:rPr>
      <w:rFonts w:ascii="Gill Sans MT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true">
    <w:name w:val="Default Paragraph Font"/>
    <w:uiPriority w:val="1"/>
    <w:semiHidden/>
    <w:unhideWhenUsed/>
    <w:qFormat/>
    <w:rPr/>
  </w:style>
  <w:style w:type="character" w:styleId="InternetLink">
    <w:name w:val="Hyperlink"/>
    <w:rPr>
      <w:rFonts w:ascii="Gill Sans MT"/>
      <w:b w:val="true"/>
      <w:color w:val="000000"/>
      <w:sz w:val="22"/>
      <w:u w:val="single" w:color="000000"/>
    </w:rPr>
  </w:style>
  <w:style w:type="paragraph" w:styleId="Heading" w:customStyle="true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true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Body" w:customStyle="true">
    <w:name w:val="Body"/>
    <w:qFormat/>
    <w:pPr>
      <w:widowControl/>
      <w:suppressAutoHyphens w:val="true"/>
      <w:bidi w:val="false"/>
      <w:spacing w:before="0" w:after="120" w:line="276" w:lineRule="auto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de-DE" w:eastAsia="zh-CN" w:bidi="hi-IN"/>
    </w:rPr>
  </w:style>
  <w:style w:type="paragraph" w:styleId="HeaderandFooter" w:customStyle="true">
    <w:name w:val="Header and Footer"/>
    <w:basedOn w:val="Normal"/>
    <w:qFormat/>
    <w:pPr/>
    <w:rPr/>
  </w:style>
  <w:style w:type="paragraph" w:styleId="Footer">
    <w:name w:val="Footer"/>
    <w:pPr>
      <w:widowControl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after="0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uiPriority w:val="99"/>
    <w:semiHidden/>
    <w:unhideWhenUsed/>
    <w:qFormat/>
  </w:style>
  <w:style w:type="table" w:styleId="TableNormal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www.legis.iowa.gov/legislation/BillBook?ga=90&amp;ba=HF688" Type="http://schemas.openxmlformats.org/officeDocument/2006/relationships/hyperlink" Id="rId7"/><Relationship TargetMode="External" Target="https://www.legis.iowa.gov/legislation/BillBook?ga=90&amp;ba=SF568" Type="http://schemas.openxmlformats.org/officeDocument/2006/relationships/hyperlink" Id="rId8"/><Relationship TargetMode="External" Target="https://www.legis.iowa.gov/legislation/BillBook?ga=90&amp;ba=SF265" Type="http://schemas.openxmlformats.org/officeDocument/2006/relationships/hyperlink" Id="rId9"/></Relationships>
</file>

<file path=word/_rels/header1.xml.rels><?xml version="1.0" encoding="UTF-8" standalone="yes"?><Relationships xmlns="http://schemas.openxmlformats.org/package/2006/relationships"><Relationship Target="media/image1.jpe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5</properties:Words>
  <properties:Characters>20</properties:Characters>
  <properties:Paragraphs>3</properties:Paragraphs>
  <properties:TotalTime>203</properties:TotalTime>
  <properties:CharactersWithSpaces>80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2023-11-21T15:17:00Z</dcterms:created>
  <dc:creator>Nick Laning</dc:creator>
  <dc:description/>
  <dc:language>en-US</dc:language>
  <cp:lastModifiedBy>docx4j</cp:lastModifiedBy>
  <dcterms:modified xmlns:xsi="http://www.w3.org/2001/XMLSchema-instance" xsi:type="dcterms:W3CDTF">2023-11-21T20:33:33Z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